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52"/>
        <w:gridCol w:w="3261"/>
        <w:gridCol w:w="1756"/>
        <w:gridCol w:w="2462"/>
        <w:gridCol w:w="1877"/>
        <w:gridCol w:w="2410"/>
      </w:tblGrid>
      <w:tr w:rsidR="00C6589B" w:rsidRPr="00F66EF6" w:rsidTr="00C6589B">
        <w:trPr>
          <w:trHeight w:val="431"/>
        </w:trPr>
        <w:tc>
          <w:tcPr>
            <w:tcW w:w="558" w:type="dxa"/>
            <w:vMerge w:val="restart"/>
            <w:tcBorders>
              <w:top w:val="single" w:sz="4" w:space="0" w:color="auto"/>
            </w:tcBorders>
          </w:tcPr>
          <w:p w:rsidR="00C6589B" w:rsidRPr="0057228F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7228F">
              <w:rPr>
                <w:rFonts w:ascii="Footlight MT Light" w:eastAsia="Times New Roman" w:hAnsi="Footlight MT Light"/>
                <w:b/>
                <w:sz w:val="24"/>
                <w:szCs w:val="24"/>
              </w:rPr>
              <w:t>3.</w:t>
            </w:r>
          </w:p>
        </w:tc>
        <w:tc>
          <w:tcPr>
            <w:tcW w:w="1852" w:type="dxa"/>
            <w:vMerge w:val="restart"/>
          </w:tcPr>
          <w:p w:rsidR="00C6589B" w:rsidRPr="0057228F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57228F">
              <w:rPr>
                <w:rFonts w:ascii="Footlight MT Light" w:eastAsia="Times New Roman" w:hAnsi="Footlight MT Light"/>
                <w:b/>
                <w:sz w:val="24"/>
                <w:szCs w:val="24"/>
              </w:rPr>
              <w:t>Baringo</w:t>
            </w:r>
            <w:proofErr w:type="spellEnd"/>
            <w:r w:rsidRPr="0057228F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 Central</w:t>
            </w:r>
          </w:p>
        </w:tc>
        <w:tc>
          <w:tcPr>
            <w:tcW w:w="3261" w:type="dxa"/>
            <w:vMerge w:val="restart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  <w:u w:val="single"/>
              </w:rPr>
            </w:pPr>
            <w:r w:rsidRPr="0057228F">
              <w:rPr>
                <w:rFonts w:ascii="Footlight MT Light" w:hAnsi="Footlight MT Light"/>
                <w:sz w:val="24"/>
                <w:szCs w:val="24"/>
              </w:rPr>
              <w:t>Purchase of heifers to the remaining schools(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Talai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Seretunin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Kituro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Kapkomoi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Kapngelel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Kapkiai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Bokorin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Kurumbopsoo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Kapsoo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Orokwo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Turkuo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Kipsoit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Salawa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Ketindui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Pemwai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Kapteno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Kabasis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Kabirmoi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Kokorwonin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Bakwanin,Tandui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Kaplel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Katunoi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Kaptiriony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Tenges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Tabarin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Kipkutuny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Cheplongon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Kaseret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and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Mogorowo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Primary Schools. St. Peters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Kaptorokwo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Kipkaech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Ngetmoi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Kisok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Chesongo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Timboiywo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and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Kisonei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Sec. School @ Kshs.81,081 </w:t>
            </w:r>
            <w:r w:rsidRPr="0057228F">
              <w:rPr>
                <w:rFonts w:ascii="Footlight MT Light" w:hAnsi="Footlight MT Light"/>
                <w:sz w:val="24"/>
                <w:szCs w:val="24"/>
                <w:u w:val="single"/>
              </w:rPr>
              <w:t>TOTAL 3,000,000</w:t>
            </w: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  <w:u w:val="single"/>
              </w:rPr>
            </w:pP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b/>
                <w:sz w:val="24"/>
                <w:szCs w:val="24"/>
                <w:u w:val="single"/>
              </w:rPr>
              <w:t>Note</w:t>
            </w:r>
            <w:r w:rsidRPr="0057228F">
              <w:rPr>
                <w:rFonts w:ascii="Footlight MT Light" w:hAnsi="Footlight MT Light"/>
                <w:sz w:val="24"/>
                <w:szCs w:val="24"/>
                <w:u w:val="single"/>
              </w:rPr>
              <w:t xml:space="preserve">: </w:t>
            </w:r>
            <w:r w:rsidRPr="0057228F">
              <w:rPr>
                <w:rFonts w:ascii="Footlight MT Light" w:hAnsi="Footlight MT Light"/>
                <w:sz w:val="24"/>
                <w:szCs w:val="24"/>
              </w:rPr>
              <w:t>The project falls under agriculture which is now a devolved function</w:t>
            </w: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sz w:val="24"/>
                <w:szCs w:val="24"/>
              </w:rPr>
              <w:t>Audit fee Ksh.500,000</w:t>
            </w: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sz w:val="24"/>
                <w:szCs w:val="24"/>
              </w:rPr>
              <w:t>Payment of audit fee to KENAO</w:t>
            </w: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b/>
                <w:sz w:val="24"/>
                <w:szCs w:val="24"/>
              </w:rPr>
              <w:t xml:space="preserve">Declined </w:t>
            </w: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sz w:val="24"/>
                <w:szCs w:val="24"/>
              </w:rPr>
              <w:t>Payment of audit fee was suspended</w:t>
            </w: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Boda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boda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shates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>. 1,000,000</w:t>
            </w: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Construction of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Boda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Boda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57228F">
              <w:rPr>
                <w:rFonts w:ascii="Footlight MT Light" w:hAnsi="Footlight MT Light"/>
                <w:sz w:val="24"/>
                <w:szCs w:val="24"/>
              </w:rPr>
              <w:lastRenderedPageBreak/>
              <w:t xml:space="preserve">shades at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Kituro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Kabarnet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CBD,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Kaptimbor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Oinobmoi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Kiwanja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ndege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@200,000.00</w:t>
            </w: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b/>
                <w:sz w:val="24"/>
                <w:szCs w:val="24"/>
              </w:rPr>
              <w:t xml:space="preserve">Declined </w:t>
            </w: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Construction of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boda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57228F">
              <w:rPr>
                <w:rFonts w:ascii="Footlight MT Light" w:hAnsi="Footlight MT Light"/>
                <w:sz w:val="24"/>
                <w:szCs w:val="24"/>
              </w:rPr>
              <w:t>boda</w:t>
            </w:r>
            <w:proofErr w:type="spellEnd"/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shades is devolved and falls under County Government</w:t>
            </w: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  <w:u w:val="single"/>
              </w:rPr>
            </w:pPr>
            <w:r w:rsidRPr="0057228F">
              <w:rPr>
                <w:rFonts w:ascii="Footlight MT Light" w:hAnsi="Footlight MT Light"/>
                <w:b/>
                <w:sz w:val="24"/>
                <w:szCs w:val="24"/>
                <w:u w:val="single"/>
              </w:rPr>
              <w:t>GRAND TOTAL: 4,500,000</w:t>
            </w:r>
          </w:p>
        </w:tc>
        <w:tc>
          <w:tcPr>
            <w:tcW w:w="1756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Kapsogo</w:t>
            </w:r>
            <w:proofErr w:type="spellEnd"/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462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Completion of administration block – plastering, fixing of windows and flooring</w:t>
            </w:r>
          </w:p>
        </w:tc>
        <w:tc>
          <w:tcPr>
            <w:tcW w:w="1877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2410" w:type="dxa"/>
            <w:vMerge w:val="restart"/>
          </w:tcPr>
          <w:p w:rsidR="00C6589B" w:rsidRPr="00F75C87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Conditionally approved</w:t>
            </w:r>
          </w:p>
          <w:p w:rsidR="00C6589B" w:rsidRPr="0057228F" w:rsidRDefault="00C6589B" w:rsidP="00276164">
            <w:pPr>
              <w:pStyle w:val="NoSpacing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  <w:p w:rsidR="00C6589B" w:rsidRPr="0057228F" w:rsidRDefault="00C6589B" w:rsidP="00276164">
            <w:pPr>
              <w:pStyle w:val="NoSpacing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sz w:val="24"/>
                <w:szCs w:val="24"/>
              </w:rPr>
              <w:t>NG</w:t>
            </w:r>
            <w:r>
              <w:rPr>
                <w:rFonts w:ascii="Footlight MT Light" w:hAnsi="Footlight MT Light"/>
                <w:sz w:val="24"/>
                <w:szCs w:val="24"/>
              </w:rPr>
              <w:t>-CDFC to submit c</w:t>
            </w:r>
            <w:r w:rsidRPr="0057228F">
              <w:rPr>
                <w:rFonts w:ascii="Footlight MT Light" w:hAnsi="Footlight MT Light"/>
                <w:sz w:val="24"/>
                <w:szCs w:val="24"/>
              </w:rPr>
              <w:t>orrect 4</w:t>
            </w:r>
            <w:r w:rsidRPr="0057228F">
              <w:rPr>
                <w:rFonts w:ascii="Footlight MT Light" w:hAnsi="Footlight MT Light"/>
                <w:sz w:val="24"/>
                <w:szCs w:val="24"/>
                <w:vertAlign w:val="superscript"/>
              </w:rPr>
              <w:t>th</w:t>
            </w:r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and 3</w:t>
            </w:r>
            <w:r w:rsidRPr="0057228F">
              <w:rPr>
                <w:rFonts w:ascii="Footlight MT Light" w:hAnsi="Footlight MT Light"/>
                <w:sz w:val="24"/>
                <w:szCs w:val="24"/>
                <w:vertAlign w:val="superscript"/>
              </w:rPr>
              <w:t>rd</w:t>
            </w:r>
            <w:r w:rsidRPr="0057228F">
              <w:rPr>
                <w:rFonts w:ascii="Footlight MT Light" w:hAnsi="Footlight MT Light"/>
                <w:sz w:val="24"/>
                <w:szCs w:val="24"/>
              </w:rPr>
              <w:t xml:space="preserve"> schedules.</w:t>
            </w:r>
          </w:p>
          <w:p w:rsidR="00C6589B" w:rsidRPr="0057228F" w:rsidRDefault="00C6589B" w:rsidP="00276164">
            <w:pPr>
              <w:pStyle w:val="NoSpacing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:rsidR="00C6589B" w:rsidRPr="0057228F" w:rsidRDefault="00C6589B" w:rsidP="00276164">
            <w:pPr>
              <w:pStyle w:val="NoSpacing"/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NG-CDFC to specify renovation activities for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Seguton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  <w:p w:rsidR="00C6589B" w:rsidRPr="0057228F" w:rsidRDefault="00C6589B" w:rsidP="00276164">
            <w:pPr>
              <w:pStyle w:val="NoSpacing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C6589B" w:rsidRPr="00F66EF6" w:rsidTr="00C6589B">
        <w:trPr>
          <w:trHeight w:val="431"/>
        </w:trPr>
        <w:tc>
          <w:tcPr>
            <w:tcW w:w="558" w:type="dxa"/>
            <w:vMerge/>
          </w:tcPr>
          <w:p w:rsidR="00C6589B" w:rsidRPr="0057228F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C6589B" w:rsidRPr="0057228F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56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Kapkut</w:t>
            </w:r>
            <w:proofErr w:type="spellEnd"/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462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Plastering and fixing of windows to 4 classrooms</w:t>
            </w:r>
          </w:p>
        </w:tc>
        <w:tc>
          <w:tcPr>
            <w:tcW w:w="1877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2410" w:type="dxa"/>
            <w:vMerge/>
          </w:tcPr>
          <w:p w:rsidR="00C6589B" w:rsidRPr="0057228F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</w:p>
        </w:tc>
      </w:tr>
      <w:tr w:rsidR="00C6589B" w:rsidRPr="00F66EF6" w:rsidTr="00C6589B">
        <w:trPr>
          <w:trHeight w:val="431"/>
        </w:trPr>
        <w:tc>
          <w:tcPr>
            <w:tcW w:w="558" w:type="dxa"/>
            <w:vMerge/>
          </w:tcPr>
          <w:p w:rsidR="00C6589B" w:rsidRPr="0057228F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C6589B" w:rsidRPr="0057228F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56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Seguton</w:t>
            </w:r>
            <w:proofErr w:type="spellEnd"/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462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Renovation of 5 classrooms</w:t>
            </w:r>
          </w:p>
        </w:tc>
        <w:tc>
          <w:tcPr>
            <w:tcW w:w="1877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500.000</w:t>
            </w:r>
          </w:p>
        </w:tc>
        <w:tc>
          <w:tcPr>
            <w:tcW w:w="2410" w:type="dxa"/>
            <w:vMerge/>
          </w:tcPr>
          <w:p w:rsidR="00C6589B" w:rsidRPr="0057228F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</w:p>
        </w:tc>
      </w:tr>
      <w:tr w:rsidR="00C6589B" w:rsidRPr="00F66EF6" w:rsidTr="00C6589B">
        <w:trPr>
          <w:trHeight w:val="431"/>
        </w:trPr>
        <w:tc>
          <w:tcPr>
            <w:tcW w:w="558" w:type="dxa"/>
            <w:vMerge/>
          </w:tcPr>
          <w:p w:rsidR="00C6589B" w:rsidRPr="0057228F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C6589B" w:rsidRPr="0057228F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56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Kaprogonya</w:t>
            </w:r>
            <w:proofErr w:type="spellEnd"/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462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1 classroom </w:t>
            </w:r>
            <w:proofErr w:type="spellStart"/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. 800,000 and construction of toilet 200,000</w:t>
            </w:r>
          </w:p>
        </w:tc>
        <w:tc>
          <w:tcPr>
            <w:tcW w:w="1877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2410" w:type="dxa"/>
            <w:vMerge/>
          </w:tcPr>
          <w:p w:rsidR="00C6589B" w:rsidRPr="0057228F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</w:p>
        </w:tc>
      </w:tr>
      <w:tr w:rsidR="00C6589B" w:rsidRPr="00F66EF6" w:rsidTr="00C6589B">
        <w:trPr>
          <w:trHeight w:val="431"/>
        </w:trPr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C6589B" w:rsidRPr="0057228F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C6589B" w:rsidRPr="0057228F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56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Kisonei</w:t>
            </w:r>
            <w:proofErr w:type="spellEnd"/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day secondary school</w:t>
            </w:r>
          </w:p>
        </w:tc>
        <w:tc>
          <w:tcPr>
            <w:tcW w:w="2462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Roofing, plastering and fixing of doors and windows of laboratory</w:t>
            </w:r>
          </w:p>
        </w:tc>
        <w:tc>
          <w:tcPr>
            <w:tcW w:w="1877" w:type="dxa"/>
          </w:tcPr>
          <w:p w:rsidR="00C6589B" w:rsidRPr="0057228F" w:rsidRDefault="00C6589B" w:rsidP="00276164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7228F">
              <w:rPr>
                <w:rFonts w:ascii="Footlight MT Light" w:hAnsi="Footlight MT Light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2410" w:type="dxa"/>
            <w:vMerge/>
          </w:tcPr>
          <w:p w:rsidR="00C6589B" w:rsidRPr="0057228F" w:rsidRDefault="00C6589B" w:rsidP="00276164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</w:p>
        </w:tc>
      </w:tr>
    </w:tbl>
    <w:p w:rsidR="00C6589B" w:rsidRDefault="00C6589B" w:rsidP="00C6589B">
      <w:pPr>
        <w:tabs>
          <w:tab w:val="left" w:pos="-450"/>
          <w:tab w:val="left" w:pos="360"/>
        </w:tabs>
        <w:spacing w:after="0" w:line="240" w:lineRule="auto"/>
        <w:rPr>
          <w:rFonts w:ascii="Footlight MT Light" w:hAnsi="Footlight MT Light" w:cs="Times New Roman"/>
          <w:b/>
          <w:i/>
          <w:sz w:val="24"/>
          <w:szCs w:val="24"/>
        </w:rPr>
      </w:pPr>
    </w:p>
    <w:p w:rsidR="00C6589B" w:rsidRDefault="00C6589B" w:rsidP="00C6589B">
      <w:pPr>
        <w:tabs>
          <w:tab w:val="left" w:pos="-450"/>
          <w:tab w:val="left" w:pos="360"/>
        </w:tabs>
        <w:spacing w:after="0" w:line="240" w:lineRule="auto"/>
        <w:rPr>
          <w:rFonts w:ascii="Footlight MT Light" w:hAnsi="Footlight MT Light" w:cs="Times New Roman"/>
          <w:b/>
          <w:i/>
          <w:sz w:val="24"/>
          <w:szCs w:val="24"/>
        </w:rPr>
      </w:pPr>
      <w:bookmarkStart w:id="0" w:name="_GoBack"/>
      <w:bookmarkEnd w:id="0"/>
    </w:p>
    <w:sectPr w:rsidR="00C6589B" w:rsidSect="00C658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9B"/>
    <w:rsid w:val="009F10E8"/>
    <w:rsid w:val="00C6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6589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6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C658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6589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6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C658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Odhiambo Awino</dc:creator>
  <cp:lastModifiedBy>Victor Odhiambo Awino</cp:lastModifiedBy>
  <cp:revision>1</cp:revision>
  <dcterms:created xsi:type="dcterms:W3CDTF">2019-03-25T13:03:00Z</dcterms:created>
  <dcterms:modified xsi:type="dcterms:W3CDTF">2019-03-25T13:04:00Z</dcterms:modified>
</cp:coreProperties>
</file>