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7411B" w14:textId="50FDFEF1" w:rsidR="00584949" w:rsidRDefault="00637443" w:rsidP="006374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aiandra GD" w:eastAsia="Times New Roman" w:hAnsi="Maiandra GD" w:cs="Times New Roman"/>
          <w:b/>
          <w:sz w:val="24"/>
          <w:szCs w:val="24"/>
        </w:rPr>
      </w:pPr>
      <w:r w:rsidRPr="00FF1A07">
        <w:rPr>
          <w:rFonts w:ascii="Maiandra GD" w:eastAsia="Times New Roman" w:hAnsi="Maiandra GD" w:cs="Times New Roman"/>
          <w:b/>
          <w:sz w:val="24"/>
          <w:szCs w:val="24"/>
        </w:rPr>
        <w:t>Project Proposals for 2023/24 Financial Year</w:t>
      </w:r>
    </w:p>
    <w:p w14:paraId="5FD247DE" w14:textId="77777777" w:rsidR="00637443" w:rsidRPr="00637443" w:rsidRDefault="00637443" w:rsidP="00637443">
      <w:pPr>
        <w:pStyle w:val="ListParagraph"/>
        <w:spacing w:after="0" w:line="240" w:lineRule="auto"/>
        <w:jc w:val="both"/>
        <w:rPr>
          <w:rFonts w:ascii="Maiandra GD" w:eastAsia="Times New Roman" w:hAnsi="Maiandra GD" w:cs="Times New Roman"/>
          <w:b/>
          <w:sz w:val="24"/>
          <w:szCs w:val="24"/>
        </w:rPr>
      </w:pPr>
    </w:p>
    <w:tbl>
      <w:tblPr>
        <w:tblW w:w="1494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2284"/>
        <w:gridCol w:w="6090"/>
        <w:gridCol w:w="4758"/>
      </w:tblGrid>
      <w:tr w:rsidR="00637443" w:rsidRPr="009A67FE" w14:paraId="6AF313FB" w14:textId="77777777" w:rsidTr="00637443">
        <w:trPr>
          <w:trHeight w:val="420"/>
        </w:trPr>
        <w:tc>
          <w:tcPr>
            <w:tcW w:w="1808" w:type="dxa"/>
          </w:tcPr>
          <w:p w14:paraId="2202D8F2" w14:textId="171633AA" w:rsidR="00637443" w:rsidRPr="009A67FE" w:rsidRDefault="00637443" w:rsidP="00637443">
            <w:pPr>
              <w:spacing w:after="0" w:line="240" w:lineRule="auto"/>
              <w:jc w:val="both"/>
              <w:rPr>
                <w:rFonts w:ascii="Maiandra GD" w:eastAsia="Times New Roman" w:hAnsi="Maiandra GD" w:cs="Times New Roman"/>
                <w:b/>
                <w:sz w:val="24"/>
                <w:szCs w:val="24"/>
              </w:rPr>
            </w:pPr>
            <w:r w:rsidRPr="009A67FE">
              <w:rPr>
                <w:rFonts w:ascii="Maiandra GD" w:eastAsia="Times New Roman" w:hAnsi="Maiandra GD"/>
                <w:b/>
                <w:sz w:val="24"/>
                <w:szCs w:val="24"/>
              </w:rPr>
              <w:t>No</w:t>
            </w:r>
          </w:p>
        </w:tc>
        <w:tc>
          <w:tcPr>
            <w:tcW w:w="2284" w:type="dxa"/>
          </w:tcPr>
          <w:p w14:paraId="62498B43" w14:textId="49C8B7FB" w:rsidR="00637443" w:rsidRPr="009A67FE" w:rsidRDefault="00637443" w:rsidP="00637443">
            <w:pPr>
              <w:spacing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9A67FE">
              <w:rPr>
                <w:rFonts w:ascii="Maiandra GD" w:eastAsia="Times New Roman" w:hAnsi="Maiandra GD"/>
                <w:b/>
                <w:sz w:val="24"/>
                <w:szCs w:val="24"/>
              </w:rPr>
              <w:t xml:space="preserve">Constituency name  </w:t>
            </w:r>
          </w:p>
        </w:tc>
        <w:tc>
          <w:tcPr>
            <w:tcW w:w="6090" w:type="dxa"/>
          </w:tcPr>
          <w:p w14:paraId="3A7070E4" w14:textId="3446ED01" w:rsidR="00637443" w:rsidRPr="009A67FE" w:rsidRDefault="00637443" w:rsidP="00637443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 w:rsidRPr="009A67FE">
              <w:rPr>
                <w:rFonts w:ascii="Maiandra GD" w:eastAsia="Times New Roman" w:hAnsi="Maiandra GD"/>
                <w:b/>
                <w:sz w:val="24"/>
                <w:szCs w:val="24"/>
              </w:rPr>
              <w:t>Allocation (</w:t>
            </w:r>
            <w:proofErr w:type="spellStart"/>
            <w:r w:rsidRPr="009A67FE">
              <w:rPr>
                <w:rFonts w:ascii="Maiandra GD" w:eastAsia="Times New Roman" w:hAnsi="Maiandra GD"/>
                <w:b/>
                <w:sz w:val="24"/>
                <w:szCs w:val="24"/>
              </w:rPr>
              <w:t>Kshs</w:t>
            </w:r>
            <w:proofErr w:type="spellEnd"/>
            <w:r w:rsidRPr="009A67FE">
              <w:rPr>
                <w:rFonts w:ascii="Maiandra GD" w:eastAsia="Times New Roman" w:hAnsi="Maiandra GD"/>
                <w:b/>
                <w:sz w:val="24"/>
                <w:szCs w:val="24"/>
              </w:rPr>
              <w:t>.)</w:t>
            </w:r>
          </w:p>
        </w:tc>
        <w:tc>
          <w:tcPr>
            <w:tcW w:w="4758" w:type="dxa"/>
          </w:tcPr>
          <w:p w14:paraId="06A7B5B8" w14:textId="1FFF0A85" w:rsidR="00637443" w:rsidRPr="009A67FE" w:rsidRDefault="00637443" w:rsidP="00637443">
            <w:pPr>
              <w:spacing w:after="0" w:line="240" w:lineRule="auto"/>
              <w:jc w:val="both"/>
              <w:rPr>
                <w:rFonts w:ascii="Maiandra GD" w:eastAsia="Times New Roman" w:hAnsi="Maiandra GD" w:cs="Arial"/>
                <w:b/>
                <w:sz w:val="24"/>
                <w:szCs w:val="24"/>
              </w:rPr>
            </w:pPr>
            <w:r w:rsidRPr="009A67FE">
              <w:rPr>
                <w:rFonts w:ascii="Maiandra GD" w:eastAsia="Times New Roman" w:hAnsi="Maiandra GD"/>
                <w:b/>
                <w:sz w:val="24"/>
                <w:szCs w:val="24"/>
              </w:rPr>
              <w:t>Compliance to NG-CDF Act and other guidelines</w:t>
            </w:r>
          </w:p>
        </w:tc>
      </w:tr>
      <w:tr w:rsidR="00584949" w:rsidRPr="009A67FE" w14:paraId="6492E43B" w14:textId="77777777" w:rsidTr="00637443">
        <w:trPr>
          <w:trHeight w:val="420"/>
        </w:trPr>
        <w:tc>
          <w:tcPr>
            <w:tcW w:w="1808" w:type="dxa"/>
            <w:vMerge w:val="restart"/>
          </w:tcPr>
          <w:p w14:paraId="52CC818C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eastAsia="Times New Roman" w:hAnsi="Maiandra GD" w:cs="Times New Roman"/>
                <w:b/>
                <w:sz w:val="24"/>
                <w:szCs w:val="24"/>
              </w:rPr>
            </w:pPr>
            <w:proofErr w:type="spellStart"/>
            <w:r w:rsidRPr="009A67FE">
              <w:rPr>
                <w:rFonts w:ascii="Maiandra GD" w:eastAsia="Times New Roman" w:hAnsi="Maiandra GD" w:cs="Times New Roman"/>
                <w:b/>
                <w:sz w:val="24"/>
                <w:szCs w:val="24"/>
              </w:rPr>
              <w:t>Laisamis</w:t>
            </w:r>
            <w:proofErr w:type="spellEnd"/>
          </w:p>
        </w:tc>
        <w:tc>
          <w:tcPr>
            <w:tcW w:w="2284" w:type="dxa"/>
            <w:vMerge w:val="restart"/>
          </w:tcPr>
          <w:p w14:paraId="0A92AB8F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9A67FE">
              <w:rPr>
                <w:rFonts w:ascii="Maiandra GD" w:hAnsi="Maiandra GD"/>
                <w:sz w:val="24"/>
                <w:szCs w:val="24"/>
              </w:rPr>
              <w:t>Normal Allocation, Kshs.175,361,810</w:t>
            </w:r>
          </w:p>
          <w:p w14:paraId="37CC3C4E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</w:p>
          <w:p w14:paraId="31324E62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eastAsia="Calibri" w:hAnsi="Maiandra GD" w:cs="Times New Roman"/>
                <w:sz w:val="24"/>
                <w:szCs w:val="24"/>
                <w:lang w:val="en-GB"/>
              </w:rPr>
            </w:pPr>
            <w:r w:rsidRPr="009A67FE">
              <w:rPr>
                <w:rFonts w:ascii="Maiandra GD" w:eastAsia="Calibri" w:hAnsi="Maiandra GD" w:cs="Times New Roman"/>
                <w:sz w:val="24"/>
                <w:szCs w:val="24"/>
                <w:lang w:val="en-GB"/>
              </w:rPr>
              <w:t>JSS Allocation, Kshs.3,604,233</w:t>
            </w:r>
          </w:p>
          <w:p w14:paraId="71F5DB77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eastAsia="Calibri" w:hAnsi="Maiandra GD" w:cs="Times New Roman"/>
                <w:sz w:val="24"/>
                <w:szCs w:val="24"/>
                <w:lang w:val="en-GB"/>
              </w:rPr>
            </w:pPr>
          </w:p>
          <w:p w14:paraId="7FF16A93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9A67FE">
              <w:rPr>
                <w:rFonts w:ascii="Maiandra GD" w:eastAsia="Calibri" w:hAnsi="Maiandra GD" w:cs="Times New Roman"/>
                <w:b/>
                <w:sz w:val="24"/>
                <w:szCs w:val="24"/>
                <w:lang w:val="en-GB"/>
              </w:rPr>
              <w:t>Total Allocation, Kshs.</w:t>
            </w:r>
            <w:r w:rsidRPr="009A67FE">
              <w:rPr>
                <w:rFonts w:ascii="Maiandra GD" w:eastAsia="Times New Roman" w:hAnsi="Maiandra GD" w:cs="Arial"/>
                <w:b/>
                <w:sz w:val="24"/>
                <w:szCs w:val="24"/>
                <w:lang w:val="en-GB"/>
              </w:rPr>
              <w:t>178,966,043</w:t>
            </w:r>
          </w:p>
        </w:tc>
        <w:tc>
          <w:tcPr>
            <w:tcW w:w="6090" w:type="dxa"/>
          </w:tcPr>
          <w:p w14:paraId="6B927D77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eastAsia="Times New Roman" w:hAnsi="Maiandra GD" w:cs="Times New Roman"/>
                <w:b/>
                <w:sz w:val="24"/>
                <w:szCs w:val="24"/>
                <w:lang w:val="en-GB"/>
              </w:rPr>
            </w:pPr>
            <w:r w:rsidRPr="009A67FE">
              <w:rPr>
                <w:rFonts w:ascii="Maiandra GD" w:hAnsi="Maiandra GD"/>
                <w:b/>
                <w:sz w:val="24"/>
                <w:szCs w:val="24"/>
              </w:rPr>
              <w:t xml:space="preserve">All proposed projects complied apart from the following </w:t>
            </w:r>
          </w:p>
        </w:tc>
        <w:tc>
          <w:tcPr>
            <w:tcW w:w="4758" w:type="dxa"/>
          </w:tcPr>
          <w:p w14:paraId="6DE42601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eastAsia="Calibri" w:hAnsi="Maiandra GD" w:cs="Times New Roman"/>
                <w:sz w:val="24"/>
                <w:szCs w:val="24"/>
                <w:lang w:val="en-GB"/>
              </w:rPr>
            </w:pPr>
            <w:r w:rsidRPr="009A67FE">
              <w:rPr>
                <w:rFonts w:ascii="Maiandra GD" w:eastAsia="Times New Roman" w:hAnsi="Maiandra GD" w:cs="Arial"/>
                <w:b/>
                <w:sz w:val="24"/>
                <w:szCs w:val="24"/>
              </w:rPr>
              <w:t>All proposed projects recommended for approval apart from the following;</w:t>
            </w:r>
          </w:p>
        </w:tc>
      </w:tr>
      <w:tr w:rsidR="00584949" w:rsidRPr="009A67FE" w14:paraId="52447D81" w14:textId="77777777" w:rsidTr="00637443">
        <w:trPr>
          <w:trHeight w:val="1115"/>
        </w:trPr>
        <w:tc>
          <w:tcPr>
            <w:tcW w:w="1808" w:type="dxa"/>
            <w:vMerge/>
          </w:tcPr>
          <w:p w14:paraId="724A8C9D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eastAsia="Times New Roman" w:hAnsi="Maiandra G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4" w:type="dxa"/>
            <w:vMerge/>
          </w:tcPr>
          <w:p w14:paraId="3101536E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eastAsia="Calibri" w:hAnsi="Maiandra G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090" w:type="dxa"/>
          </w:tcPr>
          <w:p w14:paraId="1AEA681F" w14:textId="77777777" w:rsidR="00584949" w:rsidRPr="009A67FE" w:rsidRDefault="00584949" w:rsidP="006A4528">
            <w:pPr>
              <w:spacing w:after="0" w:line="240" w:lineRule="auto"/>
              <w:rPr>
                <w:rFonts w:ascii="Maiandra GD" w:hAnsi="Maiandra GD" w:cs="Calibri"/>
                <w:sz w:val="24"/>
                <w:szCs w:val="24"/>
              </w:rPr>
            </w:pPr>
            <w:proofErr w:type="spellStart"/>
            <w:r w:rsidRPr="009A67FE">
              <w:rPr>
                <w:rFonts w:ascii="Maiandra GD" w:hAnsi="Maiandra GD" w:cs="Calibri"/>
                <w:color w:val="000000"/>
                <w:sz w:val="24"/>
                <w:szCs w:val="24"/>
              </w:rPr>
              <w:t>Lapikutok</w:t>
            </w:r>
            <w:proofErr w:type="spellEnd"/>
            <w:r w:rsidRPr="009A67FE">
              <w:rPr>
                <w:rFonts w:ascii="Maiandra GD" w:hAnsi="Maiandra GD" w:cs="Calibri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A67FE">
              <w:rPr>
                <w:rFonts w:ascii="Maiandra GD" w:hAnsi="Maiandra GD" w:cs="Calibri"/>
                <w:color w:val="000000"/>
                <w:sz w:val="24"/>
                <w:szCs w:val="24"/>
              </w:rPr>
              <w:t>Ilout</w:t>
            </w:r>
            <w:proofErr w:type="spellEnd"/>
            <w:r w:rsidRPr="009A67FE">
              <w:rPr>
                <w:rFonts w:ascii="Maiandra GD" w:hAnsi="Maiandra GD" w:cs="Calibri"/>
                <w:color w:val="000000"/>
                <w:sz w:val="24"/>
                <w:szCs w:val="24"/>
              </w:rPr>
              <w:t xml:space="preserve"> Sarima Junction Security Road, </w:t>
            </w:r>
            <w:proofErr w:type="spellStart"/>
            <w:r w:rsidRPr="009A67FE">
              <w:rPr>
                <w:rFonts w:ascii="Maiandra GD" w:hAnsi="Maiandra GD" w:cs="Calibri"/>
                <w:color w:val="000000"/>
                <w:sz w:val="24"/>
                <w:szCs w:val="24"/>
              </w:rPr>
              <w:t>Ksh</w:t>
            </w:r>
            <w:proofErr w:type="spellEnd"/>
            <w:r w:rsidRPr="009A67FE">
              <w:rPr>
                <w:rFonts w:ascii="Maiandra GD" w:hAnsi="Maiandra GD" w:cs="Calibri"/>
                <w:color w:val="000000"/>
                <w:sz w:val="24"/>
                <w:szCs w:val="24"/>
              </w:rPr>
              <w:t>. 2,500,000-</w:t>
            </w:r>
            <w:r w:rsidRPr="009A67FE">
              <w:rPr>
                <w:rFonts w:ascii="Maiandra GD" w:hAnsi="Maiandra GD" w:cs="Calibri"/>
                <w:sz w:val="24"/>
                <w:szCs w:val="24"/>
              </w:rPr>
              <w:t xml:space="preserve"> Opening Up to Completion of new Security Road covering 15 KM; Bush Clearing and Removal of Boulders</w:t>
            </w:r>
          </w:p>
        </w:tc>
        <w:tc>
          <w:tcPr>
            <w:tcW w:w="4758" w:type="dxa"/>
            <w:vMerge w:val="restart"/>
          </w:tcPr>
          <w:p w14:paraId="2DA939D7" w14:textId="77777777" w:rsidR="00584949" w:rsidRPr="009A67FE" w:rsidRDefault="00584949" w:rsidP="006A4528">
            <w:pPr>
              <w:spacing w:after="0" w:line="240" w:lineRule="auto"/>
              <w:contextualSpacing/>
              <w:jc w:val="both"/>
              <w:rPr>
                <w:rFonts w:ascii="Maiandra GD" w:eastAsia="Times New Roman" w:hAnsi="Maiandra GD" w:cs="Times New Roman"/>
                <w:b/>
                <w:iCs/>
                <w:sz w:val="24"/>
                <w:szCs w:val="24"/>
                <w:lang w:eastAsia="en-GB"/>
              </w:rPr>
            </w:pPr>
            <w:r w:rsidRPr="009A67FE">
              <w:rPr>
                <w:rFonts w:ascii="Maiandra GD" w:eastAsia="Times New Roman" w:hAnsi="Maiandra GD" w:cs="Times New Roman"/>
                <w:b/>
                <w:iCs/>
                <w:sz w:val="24"/>
                <w:szCs w:val="24"/>
                <w:lang w:eastAsia="en-GB"/>
              </w:rPr>
              <w:t>Not recommended for approval</w:t>
            </w:r>
          </w:p>
          <w:p w14:paraId="501CB902" w14:textId="77777777" w:rsidR="00584949" w:rsidRPr="009A67FE" w:rsidRDefault="00584949" w:rsidP="006A4528">
            <w:pPr>
              <w:spacing w:after="0" w:line="240" w:lineRule="auto"/>
              <w:contextualSpacing/>
              <w:jc w:val="both"/>
              <w:rPr>
                <w:rFonts w:ascii="Maiandra GD" w:eastAsia="Times New Roman" w:hAnsi="Maiandra GD" w:cs="Times New Roman"/>
                <w:b/>
                <w:sz w:val="24"/>
                <w:szCs w:val="24"/>
                <w:lang w:eastAsia="en-GB"/>
              </w:rPr>
            </w:pPr>
          </w:p>
          <w:p w14:paraId="78F25BA3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eastAsia="Calibri" w:hAnsi="Maiandra GD" w:cs="Times New Roman"/>
                <w:b/>
                <w:sz w:val="24"/>
                <w:szCs w:val="24"/>
                <w:lang w:val="en-GB"/>
              </w:rPr>
            </w:pPr>
            <w:r w:rsidRPr="009A67FE">
              <w:rPr>
                <w:rFonts w:ascii="Maiandra GD" w:eastAsia="Calibri" w:hAnsi="Maiandra GD" w:cs="Times New Roman"/>
                <w:sz w:val="24"/>
                <w:szCs w:val="24"/>
              </w:rPr>
              <w:t xml:space="preserve">The projects do not fall under the exclusive functions of the National Government hence against section 3 of the NG-CDF Act 2015 as amended in 2023. </w:t>
            </w:r>
          </w:p>
          <w:p w14:paraId="04B27B39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eastAsia="Calibri" w:hAnsi="Maiandra GD" w:cs="Times New Roman"/>
                <w:b/>
                <w:sz w:val="24"/>
                <w:szCs w:val="24"/>
                <w:lang w:val="en-GB"/>
              </w:rPr>
            </w:pPr>
          </w:p>
          <w:p w14:paraId="4E2DE8B0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eastAsia="Calibri" w:hAnsi="Maiandra GD" w:cs="Times New Roman"/>
                <w:b/>
                <w:sz w:val="24"/>
                <w:szCs w:val="24"/>
                <w:highlight w:val="yellow"/>
                <w:lang w:val="en-GB"/>
              </w:rPr>
            </w:pPr>
          </w:p>
        </w:tc>
      </w:tr>
      <w:tr w:rsidR="00584949" w:rsidRPr="009A67FE" w14:paraId="73935891" w14:textId="77777777" w:rsidTr="00637443">
        <w:trPr>
          <w:trHeight w:val="920"/>
        </w:trPr>
        <w:tc>
          <w:tcPr>
            <w:tcW w:w="1808" w:type="dxa"/>
            <w:vMerge/>
          </w:tcPr>
          <w:p w14:paraId="288FA857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eastAsia="Times New Roman" w:hAnsi="Maiandra G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4" w:type="dxa"/>
            <w:vMerge/>
          </w:tcPr>
          <w:p w14:paraId="2A39C95B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eastAsia="Calibri" w:hAnsi="Maiandra G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090" w:type="dxa"/>
          </w:tcPr>
          <w:p w14:paraId="05EE60EF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hAnsi="Maiandra GD" w:cs="Calibri"/>
                <w:color w:val="000000"/>
                <w:sz w:val="24"/>
                <w:szCs w:val="24"/>
              </w:rPr>
            </w:pPr>
            <w:r w:rsidRPr="009A67FE">
              <w:rPr>
                <w:rFonts w:ascii="Maiandra GD" w:hAnsi="Maiandra GD" w:cs="Calibri"/>
                <w:color w:val="000000"/>
                <w:sz w:val="24"/>
                <w:szCs w:val="24"/>
              </w:rPr>
              <w:t xml:space="preserve">Mt. </w:t>
            </w:r>
            <w:proofErr w:type="spellStart"/>
            <w:r w:rsidRPr="009A67FE">
              <w:rPr>
                <w:rFonts w:ascii="Maiandra GD" w:hAnsi="Maiandra GD" w:cs="Calibri"/>
                <w:color w:val="000000"/>
                <w:sz w:val="24"/>
                <w:szCs w:val="24"/>
              </w:rPr>
              <w:t>Kulal</w:t>
            </w:r>
            <w:proofErr w:type="spellEnd"/>
            <w:r w:rsidRPr="009A67FE">
              <w:rPr>
                <w:rFonts w:ascii="Maiandra GD" w:hAnsi="Maiandra G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A67FE">
              <w:rPr>
                <w:rFonts w:ascii="Maiandra GD" w:hAnsi="Maiandra GD" w:cs="Calibri"/>
                <w:color w:val="000000"/>
                <w:sz w:val="24"/>
                <w:szCs w:val="24"/>
              </w:rPr>
              <w:t>Loolmugul</w:t>
            </w:r>
            <w:proofErr w:type="spellEnd"/>
            <w:r w:rsidRPr="009A67FE">
              <w:rPr>
                <w:rFonts w:ascii="Maiandra GD" w:hAnsi="Maiandra GD" w:cs="Calibri"/>
                <w:color w:val="000000"/>
                <w:sz w:val="24"/>
                <w:szCs w:val="24"/>
              </w:rPr>
              <w:t xml:space="preserve"> Security Road, </w:t>
            </w:r>
            <w:proofErr w:type="spellStart"/>
            <w:r w:rsidRPr="009A67FE">
              <w:rPr>
                <w:rFonts w:ascii="Maiandra GD" w:hAnsi="Maiandra GD" w:cs="Calibri"/>
                <w:color w:val="000000"/>
                <w:sz w:val="24"/>
                <w:szCs w:val="24"/>
              </w:rPr>
              <w:t>Ksh</w:t>
            </w:r>
            <w:proofErr w:type="spellEnd"/>
            <w:r w:rsidRPr="009A67FE">
              <w:rPr>
                <w:rFonts w:ascii="Maiandra GD" w:hAnsi="Maiandra GD" w:cs="Calibri"/>
                <w:color w:val="000000"/>
                <w:sz w:val="24"/>
                <w:szCs w:val="24"/>
              </w:rPr>
              <w:t>. 500,000-</w:t>
            </w:r>
            <w:r w:rsidRPr="009A67FE">
              <w:rPr>
                <w:rFonts w:ascii="Maiandra GD" w:hAnsi="Maiandra GD" w:cs="Calibri"/>
                <w:sz w:val="24"/>
                <w:szCs w:val="24"/>
                <w:highlight w:val="green"/>
              </w:rPr>
              <w:t xml:space="preserve"> </w:t>
            </w:r>
            <w:r w:rsidRPr="009A67FE">
              <w:rPr>
                <w:rFonts w:ascii="Maiandra GD" w:hAnsi="Maiandra GD" w:cs="Calibri"/>
                <w:sz w:val="24"/>
                <w:szCs w:val="24"/>
              </w:rPr>
              <w:t>Opening Up to Completion of new Security Road covering 5 KM; Bush Clearing and Removal of Boulders</w:t>
            </w:r>
          </w:p>
        </w:tc>
        <w:tc>
          <w:tcPr>
            <w:tcW w:w="4758" w:type="dxa"/>
            <w:vMerge/>
          </w:tcPr>
          <w:p w14:paraId="25095F22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eastAsia="Calibri" w:hAnsi="Maiandra GD" w:cs="Times New Roman"/>
                <w:bCs/>
                <w:sz w:val="24"/>
                <w:szCs w:val="24"/>
                <w:lang w:val="en-GB"/>
              </w:rPr>
            </w:pPr>
          </w:p>
        </w:tc>
      </w:tr>
      <w:tr w:rsidR="00584949" w:rsidRPr="009A67FE" w14:paraId="4CEFB82B" w14:textId="77777777" w:rsidTr="00637443">
        <w:trPr>
          <w:trHeight w:val="612"/>
        </w:trPr>
        <w:tc>
          <w:tcPr>
            <w:tcW w:w="1808" w:type="dxa"/>
            <w:vMerge/>
          </w:tcPr>
          <w:p w14:paraId="76B99BDF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eastAsia="Times New Roman" w:hAnsi="Maiandra G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4" w:type="dxa"/>
            <w:vMerge/>
          </w:tcPr>
          <w:p w14:paraId="499DBB1D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eastAsia="Calibri" w:hAnsi="Maiandra G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090" w:type="dxa"/>
          </w:tcPr>
          <w:p w14:paraId="4320202D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hAnsi="Maiandra GD" w:cs="Calibri"/>
                <w:color w:val="000000"/>
                <w:sz w:val="24"/>
                <w:szCs w:val="24"/>
              </w:rPr>
            </w:pPr>
            <w:proofErr w:type="spellStart"/>
            <w:r w:rsidRPr="009A67FE">
              <w:rPr>
                <w:rFonts w:ascii="Maiandra GD" w:hAnsi="Maiandra GD" w:cs="Calibri"/>
                <w:sz w:val="24"/>
                <w:szCs w:val="24"/>
              </w:rPr>
              <w:t>Laisamis</w:t>
            </w:r>
            <w:proofErr w:type="spellEnd"/>
            <w:r w:rsidRPr="009A67FE">
              <w:rPr>
                <w:rFonts w:ascii="Maiandra GD" w:hAnsi="Maiandra GD" w:cs="Calibri"/>
                <w:sz w:val="24"/>
                <w:szCs w:val="24"/>
              </w:rPr>
              <w:t xml:space="preserve"> NG-CDFC office, Kshs.8,000,000-</w:t>
            </w:r>
            <w:r w:rsidRPr="009A67FE">
              <w:rPr>
                <w:rFonts w:ascii="Maiandra GD" w:hAnsi="Maiandra GD" w:cs="Calibri"/>
                <w:color w:val="000000"/>
                <w:sz w:val="24"/>
                <w:szCs w:val="24"/>
              </w:rPr>
              <w:t>Supply &amp; Delivery of office furniture</w:t>
            </w:r>
          </w:p>
        </w:tc>
        <w:tc>
          <w:tcPr>
            <w:tcW w:w="4758" w:type="dxa"/>
          </w:tcPr>
          <w:p w14:paraId="427F339E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eastAsia="Calibri" w:hAnsi="Maiandra GD" w:cs="Times New Roman"/>
                <w:b/>
                <w:sz w:val="24"/>
                <w:szCs w:val="24"/>
                <w:lang w:val="en-GB"/>
              </w:rPr>
            </w:pPr>
            <w:r w:rsidRPr="009A67FE">
              <w:rPr>
                <w:rFonts w:ascii="Maiandra GD" w:eastAsia="Calibri" w:hAnsi="Maiandra GD" w:cs="Times New Roman"/>
                <w:b/>
                <w:sz w:val="24"/>
                <w:szCs w:val="24"/>
                <w:lang w:val="en-GB"/>
              </w:rPr>
              <w:t>Pending Approval</w:t>
            </w:r>
          </w:p>
          <w:p w14:paraId="24EC0300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eastAsia="Calibri" w:hAnsi="Maiandra GD" w:cs="Times New Roman"/>
                <w:b/>
                <w:sz w:val="24"/>
                <w:szCs w:val="24"/>
                <w:lang w:val="en-GB"/>
              </w:rPr>
            </w:pPr>
          </w:p>
          <w:p w14:paraId="0D3BDF3C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eastAsia="Calibri" w:hAnsi="Maiandra GD" w:cs="Times New Roman"/>
                <w:b/>
                <w:sz w:val="24"/>
                <w:szCs w:val="24"/>
                <w:lang w:val="en-GB"/>
              </w:rPr>
            </w:pPr>
            <w:r w:rsidRPr="009A67FE">
              <w:rPr>
                <w:rFonts w:ascii="Maiandra GD" w:hAnsi="Maiandra GD" w:cs="Calibri"/>
                <w:sz w:val="24"/>
                <w:szCs w:val="24"/>
              </w:rPr>
              <w:t>NG-CDFC to provide breakdown of cost for the furniture to be purchased</w:t>
            </w:r>
          </w:p>
        </w:tc>
      </w:tr>
    </w:tbl>
    <w:p w14:paraId="340ECB53" w14:textId="77777777" w:rsidR="00584949" w:rsidRDefault="00584949"/>
    <w:sectPr w:rsidR="00584949" w:rsidSect="005849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63464"/>
    <w:multiLevelType w:val="hybridMultilevel"/>
    <w:tmpl w:val="1E3AF7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856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49"/>
    <w:rsid w:val="00584949"/>
    <w:rsid w:val="00637443"/>
    <w:rsid w:val="008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D7C12"/>
  <w15:chartTrackingRefBased/>
  <w15:docId w15:val="{4FF0F878-A0EB-4A27-80F5-6B211BF4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949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1"/>
    <w:qFormat/>
    <w:rsid w:val="00637443"/>
    <w:pPr>
      <w:ind w:left="720"/>
      <w:contextualSpacing/>
    </w:p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1"/>
    <w:qFormat/>
    <w:rsid w:val="00637443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DOuna</dc:creator>
  <cp:keywords/>
  <dc:description/>
  <cp:lastModifiedBy>DOuna</cp:lastModifiedBy>
  <cp:revision>2</cp:revision>
  <dcterms:created xsi:type="dcterms:W3CDTF">2024-06-11T07:59:00Z</dcterms:created>
  <dcterms:modified xsi:type="dcterms:W3CDTF">2024-06-11T07:59:00Z</dcterms:modified>
</cp:coreProperties>
</file>