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01"/>
        <w:gridCol w:w="1678"/>
        <w:gridCol w:w="4606"/>
        <w:gridCol w:w="4747"/>
      </w:tblGrid>
      <w:tr w:rsidR="009C0D2F" w:rsidRPr="0085052C" w14:paraId="18C6DDCA" w14:textId="77777777" w:rsidTr="00A3751F">
        <w:trPr>
          <w:trHeight w:val="119"/>
        </w:trPr>
        <w:tc>
          <w:tcPr>
            <w:tcW w:w="880" w:type="dxa"/>
          </w:tcPr>
          <w:p w14:paraId="19D6EDC6" w14:textId="0A32BF58" w:rsidR="009C0D2F" w:rsidRP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3D4C39">
              <w:rPr>
                <w:rFonts w:ascii="Footlight MT Light" w:eastAsia="Times New Roman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8298" w14:textId="57E35A60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AEDDE" w14:textId="480EF2AF" w:rsid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</w:t>
            </w:r>
            <w:proofErr w:type="spellStart"/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Kshs</w:t>
            </w:r>
            <w:proofErr w:type="spellEnd"/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>.)</w:t>
            </w:r>
          </w:p>
        </w:tc>
        <w:tc>
          <w:tcPr>
            <w:tcW w:w="4606" w:type="dxa"/>
          </w:tcPr>
          <w:p w14:paraId="7FE41FA8" w14:textId="00810D4D" w:rsidR="009C0D2F" w:rsidRPr="009F0E0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  <w:r w:rsidRPr="003953FC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Compliance to NG-CDF Act and other guidelines </w:t>
            </w:r>
          </w:p>
        </w:tc>
        <w:tc>
          <w:tcPr>
            <w:tcW w:w="4747" w:type="dxa"/>
          </w:tcPr>
          <w:p w14:paraId="6D9F7135" w14:textId="71E801C3" w:rsidR="009C0D2F" w:rsidRPr="0085052C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i/>
                <w:iCs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Board’s Resolution</w:t>
            </w:r>
          </w:p>
        </w:tc>
      </w:tr>
      <w:tr w:rsidR="009C0D2F" w:rsidRPr="0085052C" w14:paraId="5B258E8F" w14:textId="77777777" w:rsidTr="00A3751F">
        <w:trPr>
          <w:trHeight w:val="119"/>
        </w:trPr>
        <w:tc>
          <w:tcPr>
            <w:tcW w:w="880" w:type="dxa"/>
            <w:vMerge w:val="restart"/>
          </w:tcPr>
          <w:p w14:paraId="49E92E1D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AF078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/>
              </w:rPr>
            </w:pPr>
            <w:r w:rsidRPr="00A81520"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/>
              </w:rPr>
              <w:t>Maara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7EE95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  <w:lang w:val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145,132,603</w:t>
            </w:r>
          </w:p>
        </w:tc>
        <w:tc>
          <w:tcPr>
            <w:tcW w:w="4606" w:type="dxa"/>
          </w:tcPr>
          <w:p w14:paraId="4B588C71" w14:textId="77777777" w:rsidR="009C0D2F" w:rsidRPr="009F0E0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747" w:type="dxa"/>
          </w:tcPr>
          <w:p w14:paraId="1F109B61" w14:textId="77777777" w:rsidR="009C0D2F" w:rsidRPr="0085052C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i/>
                <w:iCs/>
                <w:sz w:val="24"/>
                <w:szCs w:val="24"/>
                <w:lang w:val="en-GB"/>
              </w:rPr>
            </w:pPr>
            <w:r w:rsidRPr="0085052C">
              <w:rPr>
                <w:rFonts w:ascii="Footlight MT Light" w:eastAsia="Times New Roman" w:hAnsi="Footlight MT Light"/>
                <w:b/>
                <w:i/>
                <w:iCs/>
                <w:sz w:val="24"/>
                <w:szCs w:val="24"/>
              </w:rPr>
              <w:t>The entire proposal to pend approval subject to NG-CDFC allocating entire balances to the following projects initiated in 2019/20 Financial Year</w:t>
            </w:r>
            <w:r w:rsidRPr="0085052C">
              <w:rPr>
                <w:rFonts w:ascii="Footlight MT Light" w:eastAsia="Times New Roman" w:hAnsi="Footlight MT Light"/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9C0D2F" w:rsidRPr="00413A5D" w14:paraId="24DE5647" w14:textId="77777777" w:rsidTr="00A3751F">
        <w:trPr>
          <w:trHeight w:val="119"/>
        </w:trPr>
        <w:tc>
          <w:tcPr>
            <w:tcW w:w="880" w:type="dxa"/>
            <w:vMerge/>
          </w:tcPr>
          <w:p w14:paraId="4ADAF83D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right w:val="single" w:sz="4" w:space="0" w:color="000000"/>
            </w:tcBorders>
          </w:tcPr>
          <w:p w14:paraId="4D721267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8D5E2" w14:textId="77777777" w:rsidR="009C0D2F" w:rsidRPr="00415B0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left w:val="single" w:sz="4" w:space="0" w:color="000000"/>
            </w:tcBorders>
          </w:tcPr>
          <w:p w14:paraId="1B71F820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>Gituntu</w:t>
            </w:r>
            <w:proofErr w:type="spellEnd"/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Day Secondary School, Kshs.1,000,000 - Construction of an administration block comprising of five rooms and staffroom; Shutter slab</w:t>
            </w:r>
          </w:p>
        </w:tc>
        <w:tc>
          <w:tcPr>
            <w:tcW w:w="4747" w:type="dxa"/>
          </w:tcPr>
          <w:p w14:paraId="7E489FDD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NG-CDFC to allocate the entire balance of Kshs.4.2 million</w:t>
            </w:r>
          </w:p>
          <w:p w14:paraId="4329E2FC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8F5C792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NG-CDFC to submit contract documents and certified </w:t>
            </w:r>
            <w:proofErr w:type="spellStart"/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>BoQs</w:t>
            </w:r>
            <w:proofErr w:type="spellEnd"/>
          </w:p>
          <w:p w14:paraId="47F606B4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446BF8FD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Management to carry out verification visit to ascertain the scope of the outstanding works.</w:t>
            </w:r>
          </w:p>
          <w:p w14:paraId="7D3BD454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7B4D9339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>The Project was initiated in 2019/20 with an allocation of Kshs.1 million. In 2021/22 the project was allocated Kshs.1.5 million for completion with estimated cost being indicated as Kshs.2.5 million</w:t>
            </w:r>
          </w:p>
          <w:p w14:paraId="6A15E385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64C66238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i/>
                <w:iCs/>
                <w:sz w:val="24"/>
                <w:szCs w:val="24"/>
              </w:rPr>
            </w:pPr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>The estimated cost has now been revised to Kshs.6,756,701 but the contract sum has been indicated as Kshs.</w:t>
            </w:r>
            <w:r w:rsidRPr="00413A5D">
              <w:rPr>
                <w:rFonts w:ascii="Footlight MT Light" w:eastAsia="Times New Roman" w:hAnsi="Footlight MT Light" w:cs="Calibri"/>
                <w:i/>
                <w:iCs/>
                <w:sz w:val="24"/>
                <w:szCs w:val="24"/>
              </w:rPr>
              <w:t>5,542,633</w:t>
            </w:r>
          </w:p>
          <w:p w14:paraId="29B2F6AE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i/>
                <w:iCs/>
                <w:sz w:val="24"/>
                <w:szCs w:val="24"/>
              </w:rPr>
            </w:pPr>
          </w:p>
          <w:p w14:paraId="51AE401C" w14:textId="77777777" w:rsidR="009C0D2F" w:rsidRPr="00413A5D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413A5D">
              <w:rPr>
                <w:rFonts w:ascii="Footlight MT Light" w:eastAsia="Times New Roman" w:hAnsi="Footlight MT Light" w:cs="Calibri"/>
                <w:sz w:val="24"/>
                <w:szCs w:val="24"/>
              </w:rPr>
              <w:t>The FAM indicated that additional allocation of Kshs,1,000,000 will complete the project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.</w:t>
            </w:r>
          </w:p>
        </w:tc>
      </w:tr>
      <w:tr w:rsidR="009C0D2F" w:rsidRPr="007E6DA5" w14:paraId="701ACBBF" w14:textId="77777777" w:rsidTr="00A3751F">
        <w:trPr>
          <w:trHeight w:val="119"/>
        </w:trPr>
        <w:tc>
          <w:tcPr>
            <w:tcW w:w="880" w:type="dxa"/>
            <w:vMerge/>
          </w:tcPr>
          <w:p w14:paraId="00A0AF0C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right w:val="single" w:sz="4" w:space="0" w:color="000000"/>
            </w:tcBorders>
          </w:tcPr>
          <w:p w14:paraId="2F681D40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6FB70" w14:textId="77777777" w:rsidR="009C0D2F" w:rsidRPr="00415B0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left w:val="single" w:sz="4" w:space="0" w:color="000000"/>
            </w:tcBorders>
          </w:tcPr>
          <w:p w14:paraId="0058DF35" w14:textId="77777777" w:rsidR="009C0D2F" w:rsidRPr="007E6DA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Maara Police Division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, Kshs.4,500,000 - 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</w:t>
            </w:r>
            <w:proofErr w:type="gramStart"/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of  Officer</w:t>
            </w:r>
            <w:proofErr w:type="gramEnd"/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Commandi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n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g Police Div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i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sion and Directorate of Criminal Investigation offices comprising of 5 rooms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(phase two);substructure, superstructure,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roofing,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568C7">
              <w:rPr>
                <w:rFonts w:ascii="Footlight MT Light" w:eastAsia="Times New Roman" w:hAnsi="Footlight MT Light" w:cs="Calibri"/>
                <w:sz w:val="24"/>
                <w:szCs w:val="24"/>
              </w:rPr>
              <w:t>plastering, electrification and painting</w:t>
            </w:r>
          </w:p>
        </w:tc>
        <w:tc>
          <w:tcPr>
            <w:tcW w:w="4747" w:type="dxa"/>
          </w:tcPr>
          <w:p w14:paraId="6C779213" w14:textId="77777777" w:rsidR="009C0D2F" w:rsidRPr="009568C7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9568C7">
              <w:rPr>
                <w:rFonts w:ascii="Footlight MT Light" w:hAnsi="Footlight MT Light" w:cs="Calibri"/>
                <w:sz w:val="24"/>
                <w:szCs w:val="24"/>
              </w:rPr>
              <w:t>Management to carry out verification visit</w:t>
            </w:r>
          </w:p>
          <w:p w14:paraId="422BC7FB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</w:p>
          <w:p w14:paraId="24A3D1C2" w14:textId="77777777" w:rsidR="009C0D2F" w:rsidRPr="009568C7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9568C7">
              <w:rPr>
                <w:rFonts w:ascii="Footlight MT Light" w:hAnsi="Footlight MT Light" w:cs="Calibri"/>
                <w:sz w:val="24"/>
                <w:szCs w:val="24"/>
              </w:rPr>
              <w:t xml:space="preserve">NG-CDFC to submit contract documents/certified </w:t>
            </w:r>
            <w:proofErr w:type="spellStart"/>
            <w:r w:rsidRPr="009568C7">
              <w:rPr>
                <w:rFonts w:ascii="Footlight MT Light" w:hAnsi="Footlight MT Light" w:cs="Calibri"/>
                <w:sz w:val="24"/>
                <w:szCs w:val="24"/>
              </w:rPr>
              <w:t>BoQs</w:t>
            </w:r>
            <w:proofErr w:type="spellEnd"/>
            <w:r>
              <w:rPr>
                <w:rFonts w:ascii="Footlight MT Light" w:hAnsi="Footlight MT Light" w:cs="Calibri"/>
                <w:sz w:val="24"/>
                <w:szCs w:val="24"/>
              </w:rPr>
              <w:t>/designs.</w:t>
            </w:r>
          </w:p>
          <w:p w14:paraId="3BB2D6B2" w14:textId="77777777" w:rsidR="009C0D2F" w:rsidRPr="009568C7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56E32E9F" w14:textId="77777777" w:rsidR="009C0D2F" w:rsidRPr="009568C7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9568C7">
              <w:rPr>
                <w:rFonts w:ascii="Footlight MT Light" w:hAnsi="Footlight MT Light" w:cs="Calibri"/>
                <w:sz w:val="24"/>
                <w:szCs w:val="24"/>
              </w:rPr>
              <w:t xml:space="preserve">The project was initiated in 2018/19 with an allocation of Kshs.2,000,000 for construction of an office block from foundation </w:t>
            </w:r>
            <w:r w:rsidRPr="00320CB4">
              <w:rPr>
                <w:rFonts w:ascii="Footlight MT Light" w:hAnsi="Footlight MT Light" w:cs="Calibri"/>
                <w:b/>
                <w:bCs/>
                <w:i/>
                <w:iCs/>
                <w:sz w:val="24"/>
                <w:szCs w:val="24"/>
              </w:rPr>
              <w:t>to completion</w:t>
            </w:r>
            <w:r w:rsidRPr="009568C7">
              <w:rPr>
                <w:rFonts w:ascii="Footlight MT Light" w:hAnsi="Footlight MT Light" w:cs="Calibri"/>
                <w:sz w:val="24"/>
                <w:szCs w:val="24"/>
              </w:rPr>
              <w:t xml:space="preserve"> and was indicated as new</w:t>
            </w:r>
          </w:p>
          <w:p w14:paraId="6480804C" w14:textId="77777777" w:rsidR="009C0D2F" w:rsidRPr="009568C7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30C6CB16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9568C7">
              <w:rPr>
                <w:rFonts w:ascii="Footlight MT Light" w:hAnsi="Footlight MT Light" w:cs="Calibri"/>
                <w:sz w:val="24"/>
                <w:szCs w:val="24"/>
              </w:rPr>
              <w:t xml:space="preserve">In 2020/21, the police division was allocated Kshs.2,000,000 for construction of a six roomed office block </w:t>
            </w:r>
            <w:r w:rsidRPr="00320CB4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to completion</w:t>
            </w:r>
            <w:r w:rsidRPr="009568C7">
              <w:rPr>
                <w:rFonts w:ascii="Footlight MT Light" w:hAnsi="Footlight MT Light" w:cs="Calibri"/>
                <w:sz w:val="24"/>
                <w:szCs w:val="24"/>
              </w:rPr>
              <w:t xml:space="preserve"> and was indicated as new</w:t>
            </w:r>
          </w:p>
          <w:p w14:paraId="5569DEE9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59997B44" w14:textId="77777777" w:rsidR="009C0D2F" w:rsidRPr="007E6DA5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>The project has now been allocated additional Kshs.4,500,000 and the estimated cost has been indicated as Kshs.8,500,000</w:t>
            </w:r>
          </w:p>
        </w:tc>
      </w:tr>
      <w:tr w:rsidR="009C0D2F" w:rsidRPr="00B2431F" w14:paraId="38E2115D" w14:textId="77777777" w:rsidTr="00A3751F">
        <w:trPr>
          <w:trHeight w:val="119"/>
        </w:trPr>
        <w:tc>
          <w:tcPr>
            <w:tcW w:w="880" w:type="dxa"/>
            <w:vMerge/>
          </w:tcPr>
          <w:p w14:paraId="4F075BBE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right w:val="single" w:sz="4" w:space="0" w:color="000000"/>
            </w:tcBorders>
          </w:tcPr>
          <w:p w14:paraId="68575D84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B7474" w14:textId="77777777" w:rsidR="009C0D2F" w:rsidRPr="00415B0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F8EBD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Maara NG-CDF Office, Kshs.15,000,000 - Construction to completion of 12 roomed and </w:t>
            </w:r>
            <w:proofErr w:type="gramStart"/>
            <w:r w:rsidRPr="00B2431F">
              <w:rPr>
                <w:rFonts w:ascii="Footlight MT Light" w:hAnsi="Footlight MT Light" w:cs="Calibri"/>
                <w:sz w:val="24"/>
                <w:szCs w:val="24"/>
              </w:rPr>
              <w:t>boardroom  NG</w:t>
            </w:r>
            <w:proofErr w:type="gramEnd"/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-CDFC office(inclusive of kitchen, four roomed ablution block reserving two for people with disability, accounts office, registry, procurement office, </w:t>
            </w:r>
            <w:proofErr w:type="spellStart"/>
            <w:r w:rsidRPr="00B2431F">
              <w:rPr>
                <w:rFonts w:ascii="Footlight MT Light" w:hAnsi="Footlight MT Light" w:cs="Calibri"/>
                <w:sz w:val="24"/>
                <w:szCs w:val="24"/>
              </w:rPr>
              <w:t>m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p’s</w:t>
            </w:r>
            <w:proofErr w:type="spellEnd"/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 office, secretary to </w:t>
            </w:r>
            <w:proofErr w:type="spellStart"/>
            <w:r w:rsidRPr="00B2431F">
              <w:rPr>
                <w:rFonts w:ascii="Footlight MT Light" w:hAnsi="Footlight MT Light" w:cs="Calibri"/>
                <w:sz w:val="24"/>
                <w:szCs w:val="24"/>
              </w:rPr>
              <w:t>mp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’s</w:t>
            </w:r>
            <w:proofErr w:type="spellEnd"/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 office, constituency manager office, NGCDF chair office, NGCDF secretary office computer lab and NGCDF office)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3A13B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Pending approval</w:t>
            </w:r>
          </w:p>
          <w:p w14:paraId="59BD3397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4A711BEB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sz w:val="24"/>
                <w:szCs w:val="24"/>
              </w:rPr>
              <w:t xml:space="preserve">NG-CDFC to submit certified </w:t>
            </w:r>
            <w:proofErr w:type="spellStart"/>
            <w:r>
              <w:rPr>
                <w:rFonts w:ascii="Footlight MT Light" w:hAnsi="Footlight MT Light" w:cs="Calibri"/>
                <w:sz w:val="24"/>
                <w:szCs w:val="24"/>
              </w:rPr>
              <w:t>BoQs</w:t>
            </w:r>
            <w:proofErr w:type="spellEnd"/>
            <w:r>
              <w:rPr>
                <w:rFonts w:ascii="Footlight MT Light" w:hAnsi="Footlight MT Light" w:cs="Calibri"/>
                <w:sz w:val="24"/>
                <w:szCs w:val="24"/>
              </w:rPr>
              <w:t xml:space="preserve"> and designs for the proposed office</w:t>
            </w:r>
          </w:p>
          <w:p w14:paraId="7048EE12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</w:tr>
      <w:tr w:rsidR="009C0D2F" w:rsidRPr="00B2431F" w14:paraId="4C8C4FEB" w14:textId="77777777" w:rsidTr="00A3751F">
        <w:trPr>
          <w:trHeight w:val="119"/>
        </w:trPr>
        <w:tc>
          <w:tcPr>
            <w:tcW w:w="880" w:type="dxa"/>
            <w:vMerge/>
          </w:tcPr>
          <w:p w14:paraId="53C0FB1E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right w:val="single" w:sz="4" w:space="0" w:color="000000"/>
            </w:tcBorders>
          </w:tcPr>
          <w:p w14:paraId="2D6EA20A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B21F1" w14:textId="77777777" w:rsidR="009C0D2F" w:rsidRPr="00415B0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D8E4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FF0000"/>
                <w:sz w:val="24"/>
                <w:szCs w:val="24"/>
              </w:rPr>
            </w:pPr>
            <w:proofErr w:type="spellStart"/>
            <w:r w:rsidRPr="00B2431F">
              <w:rPr>
                <w:rFonts w:ascii="Footlight MT Light" w:hAnsi="Footlight MT Light" w:cs="Calibri"/>
                <w:sz w:val="24"/>
                <w:szCs w:val="24"/>
              </w:rPr>
              <w:t>Mwimbi</w:t>
            </w:r>
            <w:proofErr w:type="spellEnd"/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 Social Hall, Kshs.5,000,000 - Construction to completion of a 300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persons </w:t>
            </w:r>
            <w:r w:rsidRPr="00B2431F">
              <w:rPr>
                <w:rFonts w:ascii="Footlight MT Light" w:hAnsi="Footlight MT Light" w:cs="Calibri"/>
                <w:sz w:val="24"/>
                <w:szCs w:val="24"/>
              </w:rPr>
              <w:t>capacity social hall</w:t>
            </w:r>
          </w:p>
        </w:tc>
        <w:tc>
          <w:tcPr>
            <w:tcW w:w="4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5CA8176" w14:textId="77777777" w:rsidR="009C0D2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b/>
                <w:bCs/>
                <w:i/>
                <w:iCs/>
                <w:sz w:val="24"/>
                <w:szCs w:val="24"/>
              </w:rPr>
            </w:pPr>
            <w:r w:rsidRPr="007C64D9">
              <w:rPr>
                <w:rFonts w:ascii="Footlight MT Light" w:hAnsi="Footlight MT Light" w:cs="Calibri"/>
                <w:b/>
                <w:bCs/>
                <w:i/>
                <w:iCs/>
                <w:sz w:val="24"/>
                <w:szCs w:val="24"/>
              </w:rPr>
              <w:t>Declined</w:t>
            </w:r>
          </w:p>
          <w:p w14:paraId="54D57584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b/>
                <w:bCs/>
                <w:i/>
                <w:iCs/>
                <w:sz w:val="24"/>
                <w:szCs w:val="24"/>
              </w:rPr>
            </w:pPr>
          </w:p>
          <w:p w14:paraId="1C0A2724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B2431F">
              <w:rPr>
                <w:rFonts w:ascii="Footlight MT Light" w:hAnsi="Footlight MT Light" w:cs="Calibri"/>
                <w:sz w:val="24"/>
                <w:szCs w:val="24"/>
              </w:rPr>
              <w:t>Project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s </w:t>
            </w:r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fall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>under</w:t>
            </w:r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 the functions of the County Government</w:t>
            </w:r>
          </w:p>
        </w:tc>
      </w:tr>
      <w:tr w:rsidR="009C0D2F" w:rsidRPr="00B2431F" w14:paraId="318EDA99" w14:textId="77777777" w:rsidTr="00A3751F">
        <w:trPr>
          <w:trHeight w:val="119"/>
        </w:trPr>
        <w:tc>
          <w:tcPr>
            <w:tcW w:w="880" w:type="dxa"/>
            <w:vMerge/>
          </w:tcPr>
          <w:p w14:paraId="3DE2BAEB" w14:textId="77777777" w:rsidR="009C0D2F" w:rsidRPr="00A812A1" w:rsidRDefault="009C0D2F" w:rsidP="009C0D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right w:val="single" w:sz="4" w:space="0" w:color="000000"/>
            </w:tcBorders>
          </w:tcPr>
          <w:p w14:paraId="3E29AD53" w14:textId="77777777" w:rsidR="009C0D2F" w:rsidRPr="00A81520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1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B2ED4" w14:textId="77777777" w:rsidR="009C0D2F" w:rsidRPr="00415B05" w:rsidRDefault="009C0D2F" w:rsidP="009C0D2F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06783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color w:val="FF0000"/>
                <w:sz w:val="24"/>
                <w:szCs w:val="24"/>
              </w:rPr>
            </w:pPr>
            <w:proofErr w:type="spellStart"/>
            <w:r w:rsidRPr="00B2431F">
              <w:rPr>
                <w:rFonts w:ascii="Footlight MT Light" w:hAnsi="Footlight MT Light" w:cs="Calibri"/>
                <w:sz w:val="24"/>
                <w:szCs w:val="24"/>
              </w:rPr>
              <w:t>Muthambi</w:t>
            </w:r>
            <w:proofErr w:type="spellEnd"/>
            <w:r w:rsidRPr="00B2431F">
              <w:rPr>
                <w:rFonts w:ascii="Footlight MT Light" w:hAnsi="Footlight MT Light" w:cs="Calibri"/>
                <w:sz w:val="24"/>
                <w:szCs w:val="24"/>
              </w:rPr>
              <w:t xml:space="preserve"> Social Hall, Kshs.5,000,000 - Construction to completion of a 300 </w:t>
            </w:r>
            <w:r>
              <w:rPr>
                <w:rFonts w:ascii="Footlight MT Light" w:hAnsi="Footlight MT Light" w:cs="Calibri"/>
                <w:sz w:val="24"/>
                <w:szCs w:val="24"/>
              </w:rPr>
              <w:t xml:space="preserve">persons </w:t>
            </w:r>
            <w:r w:rsidRPr="00B2431F">
              <w:rPr>
                <w:rFonts w:ascii="Footlight MT Light" w:hAnsi="Footlight MT Light" w:cs="Calibri"/>
                <w:sz w:val="24"/>
                <w:szCs w:val="24"/>
              </w:rPr>
              <w:t>capacity social hall</w:t>
            </w:r>
          </w:p>
        </w:tc>
        <w:tc>
          <w:tcPr>
            <w:tcW w:w="4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E707" w14:textId="77777777" w:rsidR="009C0D2F" w:rsidRPr="00B2431F" w:rsidRDefault="009C0D2F" w:rsidP="009C0D2F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</w:tc>
      </w:tr>
    </w:tbl>
    <w:p w14:paraId="75047822" w14:textId="77777777" w:rsidR="000B5DA2" w:rsidRDefault="000B5DA2"/>
    <w:sectPr w:rsidR="000B5DA2" w:rsidSect="009C0D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C7F8C"/>
    <w:multiLevelType w:val="hybridMultilevel"/>
    <w:tmpl w:val="93049FEE"/>
    <w:lvl w:ilvl="0" w:tplc="DE08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F"/>
    <w:rsid w:val="000B5DA2"/>
    <w:rsid w:val="001E50F1"/>
    <w:rsid w:val="009C0D2F"/>
    <w:rsid w:val="00C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84AD"/>
  <w15:chartTrackingRefBased/>
  <w15:docId w15:val="{6EB4C139-13F9-4ED4-8312-05BAC90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9C0D2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9C0D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Ouna</dc:creator>
  <cp:keywords/>
  <dc:description/>
  <cp:lastModifiedBy>DOuna</cp:lastModifiedBy>
  <cp:revision>2</cp:revision>
  <dcterms:created xsi:type="dcterms:W3CDTF">2024-06-06T13:03:00Z</dcterms:created>
  <dcterms:modified xsi:type="dcterms:W3CDTF">2024-06-06T13:03:00Z</dcterms:modified>
</cp:coreProperties>
</file>