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21194" w14:textId="77777777" w:rsidR="006757F3" w:rsidRDefault="006757F3"/>
    <w:tbl>
      <w:tblPr>
        <w:tblW w:w="1557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070"/>
        <w:gridCol w:w="2340"/>
        <w:gridCol w:w="6120"/>
        <w:gridCol w:w="4320"/>
      </w:tblGrid>
      <w:tr w:rsidR="006757F3" w:rsidRPr="00735F54" w14:paraId="58D65E83" w14:textId="77777777" w:rsidTr="00EA1FE0">
        <w:trPr>
          <w:trHeight w:val="593"/>
          <w:tblHeader/>
        </w:trPr>
        <w:tc>
          <w:tcPr>
            <w:tcW w:w="720" w:type="dxa"/>
            <w:tcBorders>
              <w:top w:val="single" w:sz="4" w:space="0" w:color="000000"/>
              <w:left w:val="single" w:sz="4" w:space="0" w:color="000000"/>
              <w:bottom w:val="single" w:sz="4" w:space="0" w:color="000000"/>
              <w:right w:val="single" w:sz="4" w:space="0" w:color="000000"/>
            </w:tcBorders>
          </w:tcPr>
          <w:p w14:paraId="53377B73"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No</w:t>
            </w:r>
          </w:p>
        </w:tc>
        <w:tc>
          <w:tcPr>
            <w:tcW w:w="2070" w:type="dxa"/>
            <w:tcBorders>
              <w:top w:val="single" w:sz="4" w:space="0" w:color="000000"/>
              <w:left w:val="single" w:sz="4" w:space="0" w:color="000000"/>
              <w:bottom w:val="single" w:sz="4" w:space="0" w:color="000000"/>
              <w:right w:val="single" w:sz="4" w:space="0" w:color="000000"/>
            </w:tcBorders>
          </w:tcPr>
          <w:p w14:paraId="1287C84A"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 xml:space="preserve">Constituency name  </w:t>
            </w:r>
          </w:p>
        </w:tc>
        <w:tc>
          <w:tcPr>
            <w:tcW w:w="2340" w:type="dxa"/>
            <w:tcBorders>
              <w:top w:val="single" w:sz="4" w:space="0" w:color="000000"/>
              <w:left w:val="single" w:sz="4" w:space="0" w:color="000000"/>
              <w:bottom w:val="single" w:sz="4" w:space="0" w:color="000000"/>
              <w:right w:val="single" w:sz="4" w:space="0" w:color="000000"/>
            </w:tcBorders>
          </w:tcPr>
          <w:p w14:paraId="7E1B8CBB"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Allocation</w:t>
            </w:r>
            <w:r>
              <w:rPr>
                <w:rFonts w:ascii="Footlight MT Light" w:eastAsia="Times New Roman" w:hAnsi="Footlight MT Light"/>
                <w:b/>
                <w:sz w:val="24"/>
                <w:szCs w:val="24"/>
              </w:rPr>
              <w:t xml:space="preserve"> (Kshs.)</w:t>
            </w:r>
          </w:p>
        </w:tc>
        <w:tc>
          <w:tcPr>
            <w:tcW w:w="6120" w:type="dxa"/>
            <w:tcBorders>
              <w:top w:val="single" w:sz="4" w:space="0" w:color="000000"/>
              <w:left w:val="single" w:sz="4" w:space="0" w:color="000000"/>
              <w:bottom w:val="single" w:sz="4" w:space="0" w:color="000000"/>
              <w:right w:val="single" w:sz="4" w:space="0" w:color="000000"/>
            </w:tcBorders>
          </w:tcPr>
          <w:p w14:paraId="01F2D793"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Compliance to NG-CDF Act and other guidelines</w:t>
            </w:r>
          </w:p>
        </w:tc>
        <w:tc>
          <w:tcPr>
            <w:tcW w:w="4320" w:type="dxa"/>
            <w:tcBorders>
              <w:top w:val="single" w:sz="4" w:space="0" w:color="000000"/>
              <w:left w:val="single" w:sz="4" w:space="0" w:color="000000"/>
              <w:bottom w:val="single" w:sz="4" w:space="0" w:color="000000"/>
              <w:right w:val="single" w:sz="4" w:space="0" w:color="000000"/>
            </w:tcBorders>
          </w:tcPr>
          <w:p w14:paraId="5C44DCC5" w14:textId="77777777" w:rsidR="006757F3" w:rsidRPr="00735F54" w:rsidRDefault="006757F3" w:rsidP="00661C73">
            <w:pPr>
              <w:spacing w:after="0" w:line="240" w:lineRule="auto"/>
              <w:jc w:val="both"/>
              <w:rPr>
                <w:rFonts w:ascii="Footlight MT Light" w:eastAsia="Times New Roman" w:hAnsi="Footlight MT Light"/>
                <w:b/>
                <w:sz w:val="24"/>
                <w:szCs w:val="24"/>
              </w:rPr>
            </w:pPr>
            <w:r>
              <w:rPr>
                <w:rFonts w:ascii="Footlight MT Light" w:eastAsia="Times New Roman" w:hAnsi="Footlight MT Light"/>
                <w:b/>
                <w:sz w:val="24"/>
                <w:szCs w:val="24"/>
              </w:rPr>
              <w:t>Committee’s Recommendations</w:t>
            </w:r>
          </w:p>
        </w:tc>
      </w:tr>
      <w:tr w:rsidR="00EA1FE0" w:rsidRPr="00FE2A5B" w14:paraId="66B367C0" w14:textId="77777777" w:rsidTr="00EA1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val="restart"/>
          </w:tcPr>
          <w:p w14:paraId="52861945" w14:textId="624FC333" w:rsidR="00EA1FE0" w:rsidRPr="00EA1FE0" w:rsidRDefault="00EA1FE0" w:rsidP="00EA1FE0">
            <w:pPr>
              <w:jc w:val="both"/>
              <w:rPr>
                <w:rFonts w:ascii="Footlight MT Light" w:eastAsia="Times New Roman" w:hAnsi="Footlight MT Light"/>
                <w:b/>
                <w:lang w:val="en-GB"/>
              </w:rPr>
            </w:pPr>
            <w:r>
              <w:rPr>
                <w:rFonts w:ascii="Footlight MT Light" w:eastAsia="Times New Roman" w:hAnsi="Footlight MT Light"/>
                <w:b/>
                <w:lang w:val="en-GB"/>
              </w:rPr>
              <w:t>1.</w:t>
            </w:r>
          </w:p>
        </w:tc>
        <w:tc>
          <w:tcPr>
            <w:tcW w:w="2070" w:type="dxa"/>
            <w:vMerge w:val="restart"/>
          </w:tcPr>
          <w:p w14:paraId="7D844394" w14:textId="77777777" w:rsidR="00EA1FE0" w:rsidRPr="00FE2A5B" w:rsidRDefault="00EA1FE0" w:rsidP="00E46341">
            <w:pPr>
              <w:spacing w:after="0" w:line="240" w:lineRule="auto"/>
              <w:jc w:val="both"/>
              <w:rPr>
                <w:rFonts w:ascii="Footlight MT Light" w:eastAsia="Times New Roman" w:hAnsi="Footlight MT Light" w:cs="Times New Roman"/>
                <w:b/>
                <w:sz w:val="24"/>
                <w:szCs w:val="24"/>
              </w:rPr>
            </w:pPr>
            <w:proofErr w:type="spellStart"/>
            <w:r w:rsidRPr="00FE2A5B">
              <w:rPr>
                <w:rFonts w:ascii="Footlight MT Light" w:eastAsia="Times New Roman" w:hAnsi="Footlight MT Light" w:cs="Times New Roman"/>
                <w:b/>
                <w:sz w:val="24"/>
                <w:szCs w:val="24"/>
                <w:lang w:val="en-GB"/>
              </w:rPr>
              <w:t>Isiolo</w:t>
            </w:r>
            <w:proofErr w:type="spellEnd"/>
            <w:r w:rsidRPr="00FE2A5B">
              <w:rPr>
                <w:rFonts w:ascii="Footlight MT Light" w:eastAsia="Times New Roman" w:hAnsi="Footlight MT Light" w:cs="Times New Roman"/>
                <w:b/>
                <w:sz w:val="24"/>
                <w:szCs w:val="24"/>
                <w:lang w:val="en-GB"/>
              </w:rPr>
              <w:t xml:space="preserve"> South</w:t>
            </w:r>
          </w:p>
        </w:tc>
        <w:tc>
          <w:tcPr>
            <w:tcW w:w="2340" w:type="dxa"/>
            <w:vMerge w:val="restart"/>
          </w:tcPr>
          <w:p w14:paraId="56218AF6" w14:textId="77777777" w:rsidR="00EA1FE0" w:rsidRPr="00FE2A5B" w:rsidRDefault="00EA1FE0" w:rsidP="00E46341">
            <w:pPr>
              <w:spacing w:after="0" w:line="240" w:lineRule="auto"/>
              <w:jc w:val="both"/>
              <w:rPr>
                <w:rFonts w:ascii="Footlight MT Light" w:hAnsi="Footlight MT Light"/>
                <w:sz w:val="24"/>
                <w:szCs w:val="24"/>
              </w:rPr>
            </w:pPr>
            <w:r w:rsidRPr="00FE2A5B">
              <w:rPr>
                <w:rFonts w:ascii="Footlight MT Light" w:hAnsi="Footlight MT Light"/>
                <w:sz w:val="24"/>
                <w:szCs w:val="24"/>
              </w:rPr>
              <w:t>Normal Allocation, Kshs.157,825,629</w:t>
            </w:r>
          </w:p>
          <w:p w14:paraId="5FDCE57E" w14:textId="77777777" w:rsidR="00EA1FE0" w:rsidRPr="00FE2A5B" w:rsidRDefault="00EA1FE0" w:rsidP="00E46341">
            <w:pPr>
              <w:spacing w:after="0" w:line="240" w:lineRule="auto"/>
              <w:jc w:val="both"/>
              <w:rPr>
                <w:rFonts w:ascii="Footlight MT Light" w:hAnsi="Footlight MT Light"/>
                <w:sz w:val="24"/>
                <w:szCs w:val="24"/>
              </w:rPr>
            </w:pPr>
          </w:p>
          <w:p w14:paraId="385D02B8" w14:textId="77777777" w:rsidR="00EA1FE0" w:rsidRPr="00FE2A5B" w:rsidRDefault="00EA1FE0" w:rsidP="00E46341">
            <w:pPr>
              <w:spacing w:after="0" w:line="240" w:lineRule="auto"/>
              <w:jc w:val="both"/>
              <w:rPr>
                <w:rFonts w:ascii="Footlight MT Light" w:eastAsia="Times New Roman" w:hAnsi="Footlight MT Light" w:cs="Times New Roman"/>
                <w:sz w:val="24"/>
                <w:szCs w:val="24"/>
              </w:rPr>
            </w:pPr>
            <w:r w:rsidRPr="00FE2A5B">
              <w:rPr>
                <w:rFonts w:ascii="Footlight MT Light" w:eastAsia="Calibri" w:hAnsi="Footlight MT Light" w:cs="Times New Roman"/>
                <w:sz w:val="24"/>
                <w:szCs w:val="24"/>
                <w:lang w:val="en-GB"/>
              </w:rPr>
              <w:t>JSS Allocation, Kshs.</w:t>
            </w:r>
            <w:r w:rsidRPr="00FE2A5B">
              <w:rPr>
                <w:rFonts w:ascii="Footlight MT Light" w:eastAsia="Times New Roman" w:hAnsi="Footlight MT Light" w:cs="Times New Roman"/>
                <w:sz w:val="24"/>
                <w:szCs w:val="24"/>
              </w:rPr>
              <w:t>2,804,883</w:t>
            </w:r>
          </w:p>
          <w:p w14:paraId="633E0E8E" w14:textId="77777777" w:rsidR="00EA1FE0" w:rsidRPr="00FE2A5B" w:rsidRDefault="00EA1FE0" w:rsidP="00E46341">
            <w:pPr>
              <w:spacing w:after="0" w:line="240" w:lineRule="auto"/>
              <w:jc w:val="both"/>
              <w:rPr>
                <w:rFonts w:ascii="Footlight MT Light" w:eastAsia="Times New Roman" w:hAnsi="Footlight MT Light" w:cs="Times New Roman"/>
                <w:sz w:val="24"/>
                <w:szCs w:val="24"/>
              </w:rPr>
            </w:pPr>
          </w:p>
          <w:p w14:paraId="5EC142E3" w14:textId="77777777" w:rsidR="00EA1FE0" w:rsidRPr="00FE2A5B" w:rsidRDefault="00EA1FE0" w:rsidP="00E46341">
            <w:pPr>
              <w:spacing w:after="0" w:line="240" w:lineRule="auto"/>
              <w:jc w:val="both"/>
              <w:rPr>
                <w:rFonts w:ascii="Footlight MT Light" w:eastAsia="Calibri" w:hAnsi="Footlight MT Light" w:cs="Times New Roman"/>
                <w:sz w:val="24"/>
                <w:szCs w:val="24"/>
              </w:rPr>
            </w:pPr>
            <w:r w:rsidRPr="00FE2A5B">
              <w:rPr>
                <w:rFonts w:ascii="Footlight MT Light" w:eastAsia="Calibri" w:hAnsi="Footlight MT Light" w:cs="Times New Roman"/>
                <w:b/>
                <w:sz w:val="24"/>
                <w:szCs w:val="24"/>
                <w:lang w:val="en-GB"/>
              </w:rPr>
              <w:t>Total Allocation, Kshs.</w:t>
            </w:r>
            <w:r w:rsidRPr="00FE2A5B">
              <w:rPr>
                <w:rFonts w:ascii="Footlight MT Light" w:eastAsia="Times New Roman" w:hAnsi="Footlight MT Light" w:cs="Calibri"/>
                <w:b/>
                <w:bCs/>
                <w:sz w:val="24"/>
                <w:szCs w:val="24"/>
              </w:rPr>
              <w:t>160,630,512</w:t>
            </w:r>
          </w:p>
        </w:tc>
        <w:tc>
          <w:tcPr>
            <w:tcW w:w="6120" w:type="dxa"/>
          </w:tcPr>
          <w:p w14:paraId="372FEE7C" w14:textId="77777777" w:rsidR="00EA1FE0" w:rsidRPr="00FE2A5B" w:rsidRDefault="00EA1FE0" w:rsidP="00E46341">
            <w:pPr>
              <w:spacing w:after="0" w:line="240" w:lineRule="auto"/>
              <w:jc w:val="both"/>
              <w:rPr>
                <w:rFonts w:ascii="Footlight MT Light" w:hAnsi="Footlight MT Light"/>
                <w:b/>
                <w:sz w:val="24"/>
                <w:szCs w:val="24"/>
              </w:rPr>
            </w:pPr>
            <w:r w:rsidRPr="00FE2A5B">
              <w:rPr>
                <w:rFonts w:ascii="Footlight MT Light" w:hAnsi="Footlight MT Light" w:cs="Arial"/>
                <w:b/>
                <w:sz w:val="24"/>
                <w:szCs w:val="24"/>
              </w:rPr>
              <w:t xml:space="preserve">All proposed projects recommended for approval </w:t>
            </w:r>
            <w:r w:rsidRPr="00FE2A5B">
              <w:rPr>
                <w:rFonts w:ascii="Footlight MT Light" w:eastAsia="Times New Roman" w:hAnsi="Footlight MT Light"/>
                <w:b/>
                <w:sz w:val="24"/>
                <w:szCs w:val="24"/>
              </w:rPr>
              <w:t>apart from</w:t>
            </w:r>
            <w:r w:rsidRPr="00FE2A5B">
              <w:rPr>
                <w:rFonts w:ascii="Footlight MT Light" w:eastAsia="Times New Roman" w:hAnsi="Footlight MT Light"/>
                <w:b/>
                <w:sz w:val="24"/>
                <w:szCs w:val="24"/>
                <w:lang w:val="en-GB"/>
              </w:rPr>
              <w:t xml:space="preserve"> the following;</w:t>
            </w:r>
          </w:p>
        </w:tc>
        <w:tc>
          <w:tcPr>
            <w:tcW w:w="4320" w:type="dxa"/>
          </w:tcPr>
          <w:p w14:paraId="44DCD3BA" w14:textId="77777777" w:rsidR="00EA1FE0" w:rsidRPr="00FE2A5B" w:rsidRDefault="00EA1FE0"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cs="Arial"/>
                <w:b/>
                <w:sz w:val="24"/>
                <w:szCs w:val="24"/>
              </w:rPr>
              <w:t xml:space="preserve">All proposed projects are recommended for approval </w:t>
            </w:r>
            <w:r w:rsidRPr="00FE2A5B">
              <w:rPr>
                <w:rFonts w:ascii="Footlight MT Light" w:eastAsia="Times New Roman" w:hAnsi="Footlight MT Light"/>
                <w:b/>
                <w:sz w:val="24"/>
                <w:szCs w:val="24"/>
              </w:rPr>
              <w:t>apart from</w:t>
            </w:r>
            <w:r w:rsidRPr="00FE2A5B">
              <w:rPr>
                <w:rFonts w:ascii="Footlight MT Light" w:eastAsia="Times New Roman" w:hAnsi="Footlight MT Light"/>
                <w:b/>
                <w:sz w:val="24"/>
                <w:szCs w:val="24"/>
                <w:lang w:val="en-GB"/>
              </w:rPr>
              <w:t xml:space="preserve"> the following;</w:t>
            </w:r>
          </w:p>
        </w:tc>
      </w:tr>
      <w:tr w:rsidR="00EA1FE0" w:rsidRPr="00FE2A5B" w14:paraId="6D43F6A5" w14:textId="77777777" w:rsidTr="00EA1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Pr>
          <w:p w14:paraId="0BA02125" w14:textId="77777777" w:rsidR="00EA1FE0" w:rsidRPr="00FE2A5B" w:rsidRDefault="00EA1FE0" w:rsidP="00E46341">
            <w:pPr>
              <w:spacing w:after="0" w:line="240" w:lineRule="auto"/>
              <w:jc w:val="both"/>
              <w:rPr>
                <w:rFonts w:ascii="Footlight MT Light" w:eastAsia="Times New Roman" w:hAnsi="Footlight MT Light" w:cs="Times New Roman"/>
                <w:b/>
                <w:sz w:val="24"/>
                <w:szCs w:val="24"/>
                <w:lang w:val="en-GB"/>
              </w:rPr>
            </w:pPr>
          </w:p>
        </w:tc>
        <w:tc>
          <w:tcPr>
            <w:tcW w:w="2070" w:type="dxa"/>
            <w:vMerge/>
          </w:tcPr>
          <w:p w14:paraId="19244D9A" w14:textId="77777777" w:rsidR="00EA1FE0" w:rsidRPr="00FE2A5B" w:rsidRDefault="00EA1FE0" w:rsidP="00E46341">
            <w:pPr>
              <w:spacing w:after="0" w:line="240" w:lineRule="auto"/>
              <w:jc w:val="both"/>
              <w:rPr>
                <w:rFonts w:ascii="Footlight MT Light" w:eastAsia="Times New Roman" w:hAnsi="Footlight MT Light" w:cs="Times New Roman"/>
                <w:b/>
                <w:sz w:val="24"/>
                <w:szCs w:val="24"/>
                <w:lang w:val="en-GB"/>
              </w:rPr>
            </w:pPr>
          </w:p>
        </w:tc>
        <w:tc>
          <w:tcPr>
            <w:tcW w:w="2340" w:type="dxa"/>
            <w:vMerge/>
          </w:tcPr>
          <w:p w14:paraId="20C1D986" w14:textId="77777777" w:rsidR="00EA1FE0" w:rsidRPr="00FE2A5B" w:rsidRDefault="00EA1FE0" w:rsidP="00E46341">
            <w:pPr>
              <w:spacing w:after="0" w:line="240" w:lineRule="auto"/>
              <w:jc w:val="both"/>
              <w:rPr>
                <w:rFonts w:ascii="Footlight MT Light" w:hAnsi="Footlight MT Light"/>
                <w:sz w:val="24"/>
                <w:szCs w:val="24"/>
              </w:rPr>
            </w:pPr>
          </w:p>
        </w:tc>
        <w:tc>
          <w:tcPr>
            <w:tcW w:w="6120" w:type="dxa"/>
          </w:tcPr>
          <w:p w14:paraId="47C2B595" w14:textId="77777777" w:rsidR="00EA1FE0" w:rsidRPr="00FE2A5B" w:rsidRDefault="00EA1FE0" w:rsidP="00E46341">
            <w:pPr>
              <w:spacing w:after="0" w:line="240" w:lineRule="auto"/>
              <w:jc w:val="both"/>
              <w:rPr>
                <w:rFonts w:ascii="Footlight MT Light" w:hAnsi="Footlight MT Light" w:cs="Arial"/>
                <w:b/>
                <w:sz w:val="24"/>
                <w:szCs w:val="24"/>
              </w:rPr>
            </w:pPr>
            <w:proofErr w:type="spellStart"/>
            <w:r w:rsidRPr="00FE2A5B">
              <w:rPr>
                <w:rFonts w:ascii="Footlight MT Light" w:eastAsia="Times New Roman" w:hAnsi="Footlight MT Light" w:cs="Times New Roman"/>
                <w:sz w:val="24"/>
                <w:szCs w:val="24"/>
              </w:rPr>
              <w:t>Isiolo</w:t>
            </w:r>
            <w:proofErr w:type="spellEnd"/>
            <w:r w:rsidRPr="00FE2A5B">
              <w:rPr>
                <w:rFonts w:ascii="Footlight MT Light" w:eastAsia="Times New Roman" w:hAnsi="Footlight MT Light" w:cs="Times New Roman"/>
                <w:sz w:val="24"/>
                <w:szCs w:val="24"/>
              </w:rPr>
              <w:t xml:space="preserve"> South NG-CDF ICT Centre, Kshs.4,000,000 - Construction to completion of ICT </w:t>
            </w:r>
            <w:proofErr w:type="spellStart"/>
            <w:r w:rsidRPr="00FE2A5B">
              <w:rPr>
                <w:rFonts w:ascii="Footlight MT Light" w:eastAsia="Times New Roman" w:hAnsi="Footlight MT Light" w:cs="Times New Roman"/>
                <w:sz w:val="24"/>
                <w:szCs w:val="24"/>
              </w:rPr>
              <w:t>centre</w:t>
            </w:r>
            <w:proofErr w:type="spellEnd"/>
            <w:r w:rsidRPr="00FE2A5B">
              <w:rPr>
                <w:rFonts w:ascii="Footlight MT Light" w:eastAsia="Times New Roman" w:hAnsi="Footlight MT Light" w:cs="Times New Roman"/>
                <w:sz w:val="24"/>
                <w:szCs w:val="24"/>
              </w:rPr>
              <w:t xml:space="preserve"> with a capacity of 100 persons at a sitting.</w:t>
            </w:r>
          </w:p>
        </w:tc>
        <w:tc>
          <w:tcPr>
            <w:tcW w:w="4320" w:type="dxa"/>
          </w:tcPr>
          <w:p w14:paraId="13BCEF0C" w14:textId="77777777" w:rsidR="00EA1FE0" w:rsidRPr="00FE2A5B" w:rsidRDefault="00EA1FE0" w:rsidP="00E46341">
            <w:pPr>
              <w:spacing w:after="0" w:line="240" w:lineRule="auto"/>
              <w:jc w:val="both"/>
              <w:rPr>
                <w:rFonts w:ascii="Footlight MT Light" w:eastAsia="Calibri" w:hAnsi="Footlight MT Light" w:cs="Times New Roman"/>
                <w:b/>
                <w:sz w:val="24"/>
                <w:szCs w:val="24"/>
                <w:lang w:val="en-GB"/>
              </w:rPr>
            </w:pPr>
            <w:r w:rsidRPr="00FE2A5B">
              <w:rPr>
                <w:rFonts w:ascii="Footlight MT Light" w:eastAsia="Calibri" w:hAnsi="Footlight MT Light" w:cs="Times New Roman"/>
                <w:b/>
                <w:sz w:val="24"/>
                <w:szCs w:val="24"/>
                <w:lang w:val="en-GB"/>
              </w:rPr>
              <w:t>Pending Approval.</w:t>
            </w:r>
          </w:p>
          <w:p w14:paraId="522B51A3" w14:textId="77777777" w:rsidR="00EA1FE0" w:rsidRPr="00FE2A5B" w:rsidRDefault="00EA1FE0" w:rsidP="00E46341">
            <w:pPr>
              <w:spacing w:after="0" w:line="240" w:lineRule="auto"/>
              <w:jc w:val="both"/>
              <w:rPr>
                <w:rFonts w:ascii="Footlight MT Light" w:eastAsia="Times New Roman" w:hAnsi="Footlight MT Light" w:cs="Arial"/>
                <w:b/>
                <w:sz w:val="24"/>
                <w:szCs w:val="24"/>
              </w:rPr>
            </w:pPr>
          </w:p>
          <w:p w14:paraId="62E7AF7B" w14:textId="77777777" w:rsidR="00EA1FE0" w:rsidRPr="00FE2A5B" w:rsidRDefault="00EA1FE0" w:rsidP="00E46341">
            <w:pPr>
              <w:spacing w:after="0" w:line="240" w:lineRule="auto"/>
              <w:jc w:val="both"/>
              <w:rPr>
                <w:rFonts w:ascii="Footlight MT Light" w:eastAsia="Times New Roman" w:hAnsi="Footlight MT Light" w:cs="Arial"/>
                <w:bCs/>
                <w:sz w:val="24"/>
                <w:szCs w:val="24"/>
              </w:rPr>
            </w:pPr>
            <w:r w:rsidRPr="00FE2A5B">
              <w:rPr>
                <w:rFonts w:ascii="Footlight MT Light" w:eastAsia="Times New Roman" w:hAnsi="Footlight MT Light" w:cs="Arial"/>
                <w:bCs/>
                <w:sz w:val="24"/>
                <w:szCs w:val="24"/>
              </w:rPr>
              <w:t>To await guidelines from the Ministry of ICT</w:t>
            </w:r>
          </w:p>
        </w:tc>
      </w:tr>
      <w:tr w:rsidR="00EA1FE0" w:rsidRPr="00FE2A5B" w14:paraId="65E6B661" w14:textId="77777777" w:rsidTr="00EA1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Pr>
          <w:p w14:paraId="635A0689" w14:textId="77777777" w:rsidR="00EA1FE0" w:rsidRPr="00FE2A5B" w:rsidRDefault="00EA1FE0" w:rsidP="00E46341">
            <w:pPr>
              <w:spacing w:after="0" w:line="240" w:lineRule="auto"/>
              <w:jc w:val="both"/>
              <w:rPr>
                <w:rFonts w:ascii="Footlight MT Light" w:eastAsia="Times New Roman" w:hAnsi="Footlight MT Light" w:cs="Times New Roman"/>
                <w:b/>
                <w:sz w:val="24"/>
                <w:szCs w:val="24"/>
              </w:rPr>
            </w:pPr>
          </w:p>
        </w:tc>
        <w:tc>
          <w:tcPr>
            <w:tcW w:w="2070" w:type="dxa"/>
            <w:vMerge/>
          </w:tcPr>
          <w:p w14:paraId="0FB99382" w14:textId="77777777" w:rsidR="00EA1FE0" w:rsidRPr="00FE2A5B" w:rsidRDefault="00EA1FE0" w:rsidP="00E46341">
            <w:pPr>
              <w:spacing w:after="0" w:line="240" w:lineRule="auto"/>
              <w:jc w:val="both"/>
              <w:rPr>
                <w:rFonts w:ascii="Footlight MT Light" w:eastAsia="Times New Roman" w:hAnsi="Footlight MT Light" w:cs="Times New Roman"/>
                <w:b/>
                <w:sz w:val="24"/>
                <w:szCs w:val="24"/>
              </w:rPr>
            </w:pPr>
          </w:p>
        </w:tc>
        <w:tc>
          <w:tcPr>
            <w:tcW w:w="2340" w:type="dxa"/>
            <w:vMerge/>
          </w:tcPr>
          <w:p w14:paraId="5D5C9E9E" w14:textId="77777777" w:rsidR="00EA1FE0" w:rsidRPr="00FE2A5B" w:rsidRDefault="00EA1FE0" w:rsidP="00E46341">
            <w:pPr>
              <w:spacing w:after="0" w:line="240" w:lineRule="auto"/>
              <w:jc w:val="both"/>
              <w:rPr>
                <w:rFonts w:ascii="Footlight MT Light" w:eastAsia="Calibri" w:hAnsi="Footlight MT Light" w:cs="Times New Roman"/>
                <w:sz w:val="24"/>
                <w:szCs w:val="24"/>
              </w:rPr>
            </w:pPr>
          </w:p>
        </w:tc>
        <w:tc>
          <w:tcPr>
            <w:tcW w:w="6120" w:type="dxa"/>
          </w:tcPr>
          <w:p w14:paraId="453DFCAC" w14:textId="77777777" w:rsidR="00EA1FE0" w:rsidRPr="00FE2A5B" w:rsidRDefault="00EA1FE0" w:rsidP="00E46341">
            <w:pPr>
              <w:spacing w:after="0" w:line="240" w:lineRule="auto"/>
              <w:jc w:val="both"/>
              <w:rPr>
                <w:rFonts w:ascii="Footlight MT Light" w:hAnsi="Footlight MT Light"/>
                <w:b/>
                <w:sz w:val="24"/>
                <w:szCs w:val="24"/>
              </w:rPr>
            </w:pPr>
            <w:r w:rsidRPr="00FE2A5B">
              <w:rPr>
                <w:rFonts w:ascii="Footlight MT Light" w:eastAsia="Times New Roman" w:hAnsi="Footlight MT Light" w:cs="Times New Roman"/>
                <w:sz w:val="24"/>
                <w:szCs w:val="24"/>
              </w:rPr>
              <w:t>Kinna Secondary School</w:t>
            </w:r>
            <w:r w:rsidRPr="00FE2A5B">
              <w:rPr>
                <w:rFonts w:ascii="Footlight MT Light" w:eastAsia="Times New Roman" w:hAnsi="Footlight MT Light" w:cs="Times New Roman"/>
                <w:sz w:val="24"/>
                <w:szCs w:val="24"/>
                <w:lang w:val="en-GB"/>
              </w:rPr>
              <w:t>, Kshs.</w:t>
            </w:r>
            <w:r w:rsidRPr="00FE2A5B">
              <w:rPr>
                <w:rFonts w:ascii="Footlight MT Light" w:eastAsia="Times New Roman" w:hAnsi="Footlight MT Light" w:cs="Times New Roman"/>
                <w:sz w:val="24"/>
                <w:szCs w:val="24"/>
              </w:rPr>
              <w:t>4,769,627.13</w:t>
            </w:r>
            <w:r w:rsidRPr="00FE2A5B">
              <w:rPr>
                <w:rFonts w:ascii="Footlight MT Light" w:eastAsia="Times New Roman" w:hAnsi="Footlight MT Light" w:cs="Times New Roman"/>
                <w:b/>
                <w:bCs/>
                <w:sz w:val="24"/>
                <w:szCs w:val="24"/>
              </w:rPr>
              <w:t xml:space="preserve"> </w:t>
            </w:r>
            <w:r w:rsidRPr="00FE2A5B">
              <w:rPr>
                <w:rFonts w:ascii="Footlight MT Light" w:eastAsia="Times New Roman" w:hAnsi="Footlight MT Light" w:cs="Times New Roman"/>
                <w:b/>
                <w:sz w:val="24"/>
                <w:szCs w:val="24"/>
                <w:lang w:val="en-GB"/>
              </w:rPr>
              <w:t>-</w:t>
            </w:r>
            <w:r w:rsidRPr="00FE2A5B">
              <w:rPr>
                <w:rFonts w:ascii="Footlight MT Light" w:eastAsia="Times New Roman" w:hAnsi="Footlight MT Light" w:cs="Times New Roman"/>
                <w:sz w:val="24"/>
                <w:szCs w:val="24"/>
              </w:rPr>
              <w:t xml:space="preserve"> Access from the main road to Kinna Secondary School; Bush clearing, trenching, heavy grading, and </w:t>
            </w:r>
            <w:proofErr w:type="spellStart"/>
            <w:r w:rsidRPr="00FE2A5B">
              <w:rPr>
                <w:rFonts w:ascii="Footlight MT Light" w:eastAsia="Times New Roman" w:hAnsi="Footlight MT Light" w:cs="Times New Roman"/>
                <w:sz w:val="24"/>
                <w:szCs w:val="24"/>
              </w:rPr>
              <w:t>murraming</w:t>
            </w:r>
            <w:proofErr w:type="spellEnd"/>
            <w:r w:rsidRPr="00FE2A5B">
              <w:rPr>
                <w:rFonts w:ascii="Footlight MT Light" w:eastAsia="Times New Roman" w:hAnsi="Footlight MT Light" w:cs="Times New Roman"/>
                <w:sz w:val="24"/>
                <w:szCs w:val="24"/>
              </w:rPr>
              <w:t xml:space="preserve"> and culvert installation. </w:t>
            </w:r>
          </w:p>
        </w:tc>
        <w:tc>
          <w:tcPr>
            <w:tcW w:w="4320" w:type="dxa"/>
          </w:tcPr>
          <w:p w14:paraId="76133430" w14:textId="77777777" w:rsidR="00EA1FE0" w:rsidRPr="00FE2A5B" w:rsidRDefault="00EA1FE0" w:rsidP="00E46341">
            <w:pPr>
              <w:spacing w:after="0" w:line="240" w:lineRule="auto"/>
              <w:jc w:val="both"/>
              <w:rPr>
                <w:rFonts w:ascii="Footlight MT Light" w:eastAsia="Times New Roman" w:hAnsi="Footlight MT Light"/>
                <w:b/>
                <w:bCs/>
                <w:i/>
                <w:iCs/>
                <w:sz w:val="24"/>
                <w:szCs w:val="24"/>
                <w:lang w:val="en-GB" w:eastAsia="en-GB"/>
              </w:rPr>
            </w:pPr>
            <w:r w:rsidRPr="00FE2A5B">
              <w:rPr>
                <w:rFonts w:ascii="Footlight MT Light" w:eastAsia="Times New Roman" w:hAnsi="Footlight MT Light"/>
                <w:b/>
                <w:bCs/>
                <w:i/>
                <w:iCs/>
                <w:sz w:val="24"/>
                <w:szCs w:val="24"/>
                <w:lang w:val="en-GB" w:eastAsia="en-GB"/>
              </w:rPr>
              <w:t>Recommended for deferral</w:t>
            </w:r>
          </w:p>
          <w:p w14:paraId="59C6103E" w14:textId="77777777" w:rsidR="00EA1FE0" w:rsidRPr="00FE2A5B" w:rsidRDefault="00EA1FE0" w:rsidP="00E46341">
            <w:pPr>
              <w:spacing w:after="0" w:line="240" w:lineRule="auto"/>
              <w:jc w:val="both"/>
              <w:rPr>
                <w:rFonts w:ascii="Footlight MT Light" w:eastAsia="Times New Roman" w:hAnsi="Footlight MT Light"/>
                <w:sz w:val="24"/>
                <w:szCs w:val="24"/>
                <w:lang w:val="en-GB" w:eastAsia="en-GB"/>
              </w:rPr>
            </w:pPr>
          </w:p>
          <w:p w14:paraId="1E6A0FA4" w14:textId="77777777" w:rsidR="00EA1FE0" w:rsidRPr="00FE2A5B" w:rsidRDefault="00EA1FE0" w:rsidP="00E46341">
            <w:pPr>
              <w:spacing w:after="0" w:line="240" w:lineRule="auto"/>
              <w:jc w:val="both"/>
              <w:rPr>
                <w:rFonts w:ascii="Footlight MT Light" w:eastAsia="Times New Roman" w:hAnsi="Footlight MT Light"/>
                <w:sz w:val="24"/>
                <w:szCs w:val="24"/>
                <w:lang w:val="en-GB" w:eastAsia="en-GB"/>
              </w:rPr>
            </w:pPr>
            <w:r w:rsidRPr="00FE2A5B">
              <w:rPr>
                <w:rFonts w:ascii="Footlight MT Light" w:eastAsia="Times New Roman" w:hAnsi="Footlight MT Light"/>
                <w:sz w:val="24"/>
                <w:szCs w:val="24"/>
                <w:lang w:val="en-GB" w:eastAsia="en-GB"/>
              </w:rPr>
              <w:t>Management to carry out verification to ascertain whether the road is meant to create access to the school.</w:t>
            </w:r>
          </w:p>
        </w:tc>
      </w:tr>
      <w:tr w:rsidR="00EA1FE0" w:rsidRPr="00FE2A5B" w14:paraId="3BCA3876" w14:textId="77777777" w:rsidTr="00EA1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Pr>
          <w:p w14:paraId="5EEFA318" w14:textId="77777777" w:rsidR="00EA1FE0" w:rsidRPr="00FE2A5B" w:rsidRDefault="00EA1FE0" w:rsidP="00E46341">
            <w:pPr>
              <w:spacing w:after="0" w:line="240" w:lineRule="auto"/>
              <w:jc w:val="both"/>
              <w:rPr>
                <w:rFonts w:ascii="Footlight MT Light" w:eastAsia="Times New Roman" w:hAnsi="Footlight MT Light" w:cs="Times New Roman"/>
                <w:b/>
                <w:sz w:val="24"/>
                <w:szCs w:val="24"/>
              </w:rPr>
            </w:pPr>
          </w:p>
        </w:tc>
        <w:tc>
          <w:tcPr>
            <w:tcW w:w="2070" w:type="dxa"/>
            <w:vMerge/>
          </w:tcPr>
          <w:p w14:paraId="2A50B33A" w14:textId="77777777" w:rsidR="00EA1FE0" w:rsidRPr="00FE2A5B" w:rsidRDefault="00EA1FE0" w:rsidP="00E46341">
            <w:pPr>
              <w:spacing w:after="0" w:line="240" w:lineRule="auto"/>
              <w:jc w:val="both"/>
              <w:rPr>
                <w:rFonts w:ascii="Footlight MT Light" w:eastAsia="Times New Roman" w:hAnsi="Footlight MT Light" w:cs="Times New Roman"/>
                <w:b/>
                <w:sz w:val="24"/>
                <w:szCs w:val="24"/>
              </w:rPr>
            </w:pPr>
          </w:p>
        </w:tc>
        <w:tc>
          <w:tcPr>
            <w:tcW w:w="2340" w:type="dxa"/>
            <w:vMerge/>
          </w:tcPr>
          <w:p w14:paraId="74F873EF" w14:textId="77777777" w:rsidR="00EA1FE0" w:rsidRPr="00FE2A5B" w:rsidRDefault="00EA1FE0" w:rsidP="00E46341">
            <w:pPr>
              <w:spacing w:after="0" w:line="240" w:lineRule="auto"/>
              <w:jc w:val="both"/>
              <w:rPr>
                <w:rFonts w:ascii="Footlight MT Light" w:eastAsia="Calibri" w:hAnsi="Footlight MT Light" w:cs="Times New Roman"/>
                <w:sz w:val="24"/>
                <w:szCs w:val="24"/>
              </w:rPr>
            </w:pPr>
          </w:p>
        </w:tc>
        <w:tc>
          <w:tcPr>
            <w:tcW w:w="6120" w:type="dxa"/>
          </w:tcPr>
          <w:p w14:paraId="7A849D0B" w14:textId="77777777" w:rsidR="00EA1FE0" w:rsidRPr="00FE2A5B" w:rsidRDefault="00EA1FE0" w:rsidP="00E46341">
            <w:pPr>
              <w:spacing w:after="0" w:line="240" w:lineRule="auto"/>
              <w:jc w:val="both"/>
              <w:rPr>
                <w:rFonts w:ascii="Footlight MT Light" w:hAnsi="Footlight MT Light"/>
                <w:b/>
                <w:sz w:val="24"/>
                <w:szCs w:val="24"/>
              </w:rPr>
            </w:pPr>
            <w:proofErr w:type="spellStart"/>
            <w:r w:rsidRPr="00FE2A5B">
              <w:rPr>
                <w:rFonts w:ascii="Footlight MT Light" w:eastAsia="Times New Roman" w:hAnsi="Footlight MT Light" w:cs="Times New Roman"/>
                <w:sz w:val="24"/>
                <w:szCs w:val="24"/>
              </w:rPr>
              <w:t>Biliqinur</w:t>
            </w:r>
            <w:proofErr w:type="spellEnd"/>
            <w:r w:rsidRPr="00FE2A5B">
              <w:rPr>
                <w:rFonts w:ascii="Footlight MT Light" w:eastAsia="Times New Roman" w:hAnsi="Footlight MT Light" w:cs="Times New Roman"/>
                <w:sz w:val="24"/>
                <w:szCs w:val="24"/>
              </w:rPr>
              <w:t xml:space="preserve"> secondary school, Kshs.6,100,000- Drilling of 250M water borehole (Kshs.9,000 per meter) Kshs.2,250,000, Casing of borehole (Kshs. 4,000 per meter) Kshs.1,000,000, Installation of solar water pumping equipment (22 panels of 200W capacity each with dimensions of 52”X39” inches) and a pump capacity of 2.4KW Kshs 2,850,000</w:t>
            </w:r>
          </w:p>
        </w:tc>
        <w:tc>
          <w:tcPr>
            <w:tcW w:w="4320" w:type="dxa"/>
            <w:vMerge w:val="restart"/>
          </w:tcPr>
          <w:p w14:paraId="4C89ADB3" w14:textId="77777777" w:rsidR="00EA1FE0" w:rsidRPr="00FE2A5B" w:rsidRDefault="00EA1FE0" w:rsidP="00E46341">
            <w:pPr>
              <w:spacing w:after="0" w:line="240" w:lineRule="auto"/>
              <w:jc w:val="both"/>
              <w:rPr>
                <w:rFonts w:ascii="Footlight MT Light" w:hAnsi="Footlight MT Light"/>
                <w:b/>
                <w:sz w:val="24"/>
                <w:szCs w:val="24"/>
              </w:rPr>
            </w:pPr>
            <w:r w:rsidRPr="00FE2A5B">
              <w:rPr>
                <w:rFonts w:ascii="Footlight MT Light" w:hAnsi="Footlight MT Light"/>
                <w:b/>
                <w:sz w:val="24"/>
                <w:szCs w:val="24"/>
              </w:rPr>
              <w:t>Pending approval</w:t>
            </w:r>
          </w:p>
          <w:p w14:paraId="58D98BDC" w14:textId="77777777" w:rsidR="00EA1FE0" w:rsidRPr="00FE2A5B" w:rsidRDefault="00EA1FE0" w:rsidP="00E46341">
            <w:pPr>
              <w:spacing w:after="0" w:line="240" w:lineRule="auto"/>
              <w:jc w:val="both"/>
              <w:rPr>
                <w:rFonts w:ascii="Footlight MT Light" w:hAnsi="Footlight MT Light"/>
                <w:bCs/>
                <w:sz w:val="24"/>
                <w:szCs w:val="24"/>
              </w:rPr>
            </w:pPr>
          </w:p>
          <w:p w14:paraId="2CD75CFA" w14:textId="77777777" w:rsidR="00EA1FE0" w:rsidRPr="00FE2A5B" w:rsidRDefault="00EA1FE0" w:rsidP="00E46341">
            <w:pPr>
              <w:spacing w:after="0" w:line="240" w:lineRule="auto"/>
              <w:jc w:val="both"/>
              <w:rPr>
                <w:rFonts w:ascii="Footlight MT Light" w:hAnsi="Footlight MT Light"/>
                <w:bCs/>
                <w:sz w:val="24"/>
                <w:szCs w:val="24"/>
              </w:rPr>
            </w:pPr>
            <w:r w:rsidRPr="00FE2A5B">
              <w:rPr>
                <w:rFonts w:ascii="Footlight MT Light" w:hAnsi="Footlight MT Light"/>
                <w:bCs/>
                <w:sz w:val="24"/>
                <w:szCs w:val="24"/>
              </w:rPr>
              <w:t>NG-CDFC to submit hydrological survey report confirming that the water is available within the school premises</w:t>
            </w:r>
          </w:p>
          <w:p w14:paraId="5D16A56E" w14:textId="77777777" w:rsidR="00EA1FE0" w:rsidRPr="00FE2A5B" w:rsidRDefault="00EA1FE0" w:rsidP="00E46341">
            <w:pPr>
              <w:spacing w:after="0" w:line="240" w:lineRule="auto"/>
              <w:jc w:val="both"/>
              <w:rPr>
                <w:rFonts w:ascii="Footlight MT Light" w:hAnsi="Footlight MT Light"/>
                <w:bCs/>
                <w:sz w:val="24"/>
                <w:szCs w:val="24"/>
              </w:rPr>
            </w:pPr>
          </w:p>
          <w:p w14:paraId="48D55928" w14:textId="77777777" w:rsidR="00EA1FE0" w:rsidRPr="00FE2A5B" w:rsidRDefault="00EA1FE0" w:rsidP="00E46341">
            <w:pPr>
              <w:spacing w:after="0" w:line="240" w:lineRule="auto"/>
              <w:jc w:val="both"/>
              <w:rPr>
                <w:rFonts w:ascii="Footlight MT Light" w:eastAsia="Times New Roman" w:hAnsi="Footlight MT Light"/>
                <w:b/>
                <w:sz w:val="24"/>
                <w:szCs w:val="24"/>
              </w:rPr>
            </w:pPr>
          </w:p>
        </w:tc>
      </w:tr>
      <w:tr w:rsidR="00EA1FE0" w:rsidRPr="00FE2A5B" w14:paraId="37808999" w14:textId="77777777" w:rsidTr="00EA1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Pr>
          <w:p w14:paraId="57E4D40B" w14:textId="77777777" w:rsidR="00EA1FE0" w:rsidRPr="00FE2A5B" w:rsidRDefault="00EA1FE0" w:rsidP="00E46341">
            <w:pPr>
              <w:spacing w:after="0" w:line="240" w:lineRule="auto"/>
              <w:jc w:val="both"/>
              <w:rPr>
                <w:rFonts w:ascii="Footlight MT Light" w:eastAsia="Times New Roman" w:hAnsi="Footlight MT Light" w:cs="Times New Roman"/>
                <w:b/>
                <w:sz w:val="24"/>
                <w:szCs w:val="24"/>
              </w:rPr>
            </w:pPr>
          </w:p>
        </w:tc>
        <w:tc>
          <w:tcPr>
            <w:tcW w:w="2070" w:type="dxa"/>
            <w:vMerge/>
          </w:tcPr>
          <w:p w14:paraId="00A78749" w14:textId="77777777" w:rsidR="00EA1FE0" w:rsidRPr="00FE2A5B" w:rsidRDefault="00EA1FE0" w:rsidP="00E46341">
            <w:pPr>
              <w:spacing w:after="0" w:line="240" w:lineRule="auto"/>
              <w:jc w:val="both"/>
              <w:rPr>
                <w:rFonts w:ascii="Footlight MT Light" w:eastAsia="Times New Roman" w:hAnsi="Footlight MT Light" w:cs="Times New Roman"/>
                <w:b/>
                <w:sz w:val="24"/>
                <w:szCs w:val="24"/>
              </w:rPr>
            </w:pPr>
          </w:p>
        </w:tc>
        <w:tc>
          <w:tcPr>
            <w:tcW w:w="2340" w:type="dxa"/>
            <w:vMerge/>
          </w:tcPr>
          <w:p w14:paraId="35FDB477" w14:textId="77777777" w:rsidR="00EA1FE0" w:rsidRPr="00FE2A5B" w:rsidRDefault="00EA1FE0" w:rsidP="00E46341">
            <w:pPr>
              <w:spacing w:after="0" w:line="240" w:lineRule="auto"/>
              <w:jc w:val="both"/>
              <w:rPr>
                <w:rFonts w:ascii="Footlight MT Light" w:eastAsia="Calibri" w:hAnsi="Footlight MT Light" w:cs="Times New Roman"/>
                <w:sz w:val="24"/>
                <w:szCs w:val="24"/>
              </w:rPr>
            </w:pPr>
          </w:p>
        </w:tc>
        <w:tc>
          <w:tcPr>
            <w:tcW w:w="6120" w:type="dxa"/>
          </w:tcPr>
          <w:p w14:paraId="610114DE" w14:textId="77777777" w:rsidR="00EA1FE0" w:rsidRPr="00FE2A5B" w:rsidRDefault="00EA1FE0" w:rsidP="00E46341">
            <w:pPr>
              <w:spacing w:after="0" w:line="240" w:lineRule="auto"/>
              <w:jc w:val="both"/>
              <w:rPr>
                <w:rFonts w:ascii="Footlight MT Light" w:hAnsi="Footlight MT Light"/>
                <w:b/>
                <w:sz w:val="24"/>
                <w:szCs w:val="24"/>
              </w:rPr>
            </w:pPr>
            <w:proofErr w:type="spellStart"/>
            <w:r w:rsidRPr="00FE2A5B">
              <w:rPr>
                <w:rFonts w:ascii="Footlight MT Light" w:eastAsia="Times New Roman" w:hAnsi="Footlight MT Light" w:cs="Times New Roman"/>
                <w:sz w:val="24"/>
                <w:szCs w:val="24"/>
              </w:rPr>
              <w:t>Kulamawe</w:t>
            </w:r>
            <w:proofErr w:type="spellEnd"/>
            <w:r w:rsidRPr="00FE2A5B">
              <w:rPr>
                <w:rFonts w:ascii="Footlight MT Light" w:eastAsia="Times New Roman" w:hAnsi="Footlight MT Light" w:cs="Times New Roman"/>
                <w:sz w:val="24"/>
                <w:szCs w:val="24"/>
              </w:rPr>
              <w:t xml:space="preserve"> Secondary school, Kshs.6,100,000- Drilling of 250M water borehole (Kshs.9,000 per meter) Kshs.2,250,000, Casing of borehole (Kshs. 4,000 per meter) Kshs.1,000,000, Installation of solar water pumping equipment (22 panels of 200W capacity each with dimensions of 52”X39” inches) and a pump capacity of 2.4KW Kshs 2,850,000</w:t>
            </w:r>
          </w:p>
        </w:tc>
        <w:tc>
          <w:tcPr>
            <w:tcW w:w="4320" w:type="dxa"/>
            <w:vMerge/>
          </w:tcPr>
          <w:p w14:paraId="018A7393" w14:textId="77777777" w:rsidR="00EA1FE0" w:rsidRPr="00FE2A5B" w:rsidRDefault="00EA1FE0" w:rsidP="00E46341">
            <w:pPr>
              <w:spacing w:after="0" w:line="240" w:lineRule="auto"/>
              <w:jc w:val="both"/>
              <w:rPr>
                <w:rFonts w:ascii="Footlight MT Light" w:eastAsia="Times New Roman" w:hAnsi="Footlight MT Light"/>
                <w:b/>
                <w:sz w:val="24"/>
                <w:szCs w:val="24"/>
              </w:rPr>
            </w:pPr>
          </w:p>
        </w:tc>
      </w:tr>
      <w:tr w:rsidR="00EA1FE0" w:rsidRPr="00FE2A5B" w14:paraId="42458EBC" w14:textId="77777777" w:rsidTr="00EA1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Pr>
          <w:p w14:paraId="592B7917" w14:textId="77777777" w:rsidR="00EA1FE0" w:rsidRPr="00FE2A5B" w:rsidRDefault="00EA1FE0" w:rsidP="00E46341">
            <w:pPr>
              <w:spacing w:after="0" w:line="240" w:lineRule="auto"/>
              <w:jc w:val="both"/>
              <w:rPr>
                <w:rFonts w:ascii="Footlight MT Light" w:eastAsia="Times New Roman" w:hAnsi="Footlight MT Light" w:cs="Times New Roman"/>
                <w:b/>
                <w:sz w:val="24"/>
                <w:szCs w:val="24"/>
              </w:rPr>
            </w:pPr>
          </w:p>
        </w:tc>
        <w:tc>
          <w:tcPr>
            <w:tcW w:w="2070" w:type="dxa"/>
            <w:vMerge/>
          </w:tcPr>
          <w:p w14:paraId="73D149BC" w14:textId="77777777" w:rsidR="00EA1FE0" w:rsidRPr="00FE2A5B" w:rsidRDefault="00EA1FE0" w:rsidP="00E46341">
            <w:pPr>
              <w:spacing w:after="0" w:line="240" w:lineRule="auto"/>
              <w:jc w:val="both"/>
              <w:rPr>
                <w:rFonts w:ascii="Footlight MT Light" w:eastAsia="Times New Roman" w:hAnsi="Footlight MT Light" w:cs="Times New Roman"/>
                <w:b/>
                <w:sz w:val="24"/>
                <w:szCs w:val="24"/>
              </w:rPr>
            </w:pPr>
          </w:p>
        </w:tc>
        <w:tc>
          <w:tcPr>
            <w:tcW w:w="2340" w:type="dxa"/>
            <w:vMerge/>
          </w:tcPr>
          <w:p w14:paraId="3F069E18" w14:textId="77777777" w:rsidR="00EA1FE0" w:rsidRPr="00FE2A5B" w:rsidRDefault="00EA1FE0" w:rsidP="00E46341">
            <w:pPr>
              <w:spacing w:after="0" w:line="240" w:lineRule="auto"/>
              <w:jc w:val="both"/>
              <w:rPr>
                <w:rFonts w:ascii="Footlight MT Light" w:eastAsia="Calibri" w:hAnsi="Footlight MT Light" w:cs="Times New Roman"/>
                <w:sz w:val="24"/>
                <w:szCs w:val="24"/>
              </w:rPr>
            </w:pPr>
          </w:p>
        </w:tc>
        <w:tc>
          <w:tcPr>
            <w:tcW w:w="6120" w:type="dxa"/>
          </w:tcPr>
          <w:p w14:paraId="7BEBCEAA" w14:textId="77777777" w:rsidR="00EA1FE0" w:rsidRPr="00FE2A5B" w:rsidRDefault="00EA1FE0" w:rsidP="00E46341">
            <w:pPr>
              <w:spacing w:after="0" w:line="240" w:lineRule="auto"/>
              <w:jc w:val="both"/>
              <w:rPr>
                <w:rFonts w:ascii="Footlight MT Light" w:hAnsi="Footlight MT Light"/>
                <w:b/>
                <w:sz w:val="24"/>
                <w:szCs w:val="24"/>
              </w:rPr>
            </w:pPr>
            <w:proofErr w:type="spellStart"/>
            <w:r w:rsidRPr="00FE2A5B">
              <w:rPr>
                <w:rFonts w:ascii="Footlight MT Light" w:eastAsia="Times New Roman" w:hAnsi="Footlight MT Light" w:cs="Times New Roman"/>
                <w:sz w:val="24"/>
                <w:szCs w:val="24"/>
              </w:rPr>
              <w:t>Garbatula</w:t>
            </w:r>
            <w:proofErr w:type="spellEnd"/>
            <w:r w:rsidRPr="00FE2A5B">
              <w:rPr>
                <w:rFonts w:ascii="Footlight MT Light" w:eastAsia="Times New Roman" w:hAnsi="Footlight MT Light" w:cs="Times New Roman"/>
                <w:sz w:val="24"/>
                <w:szCs w:val="24"/>
              </w:rPr>
              <w:t xml:space="preserve"> day Girls secondary school, Kshs.6,100,000- Drilling of 250M water borehole (Kshs.9,000 per meter) Kshs.2,250,000, Casing of borehole (Kshs. 4,000 per meter) Kshs.1,000,000, Installation of solar water pumping equipment (22 panels of 200W capacity each with dimensions of 52”X39” inches) and a pump capacity of 2.4KW Kshs 2,850,000</w:t>
            </w:r>
          </w:p>
        </w:tc>
        <w:tc>
          <w:tcPr>
            <w:tcW w:w="4320" w:type="dxa"/>
            <w:vMerge/>
          </w:tcPr>
          <w:p w14:paraId="206448B2" w14:textId="77777777" w:rsidR="00EA1FE0" w:rsidRPr="00FE2A5B" w:rsidRDefault="00EA1FE0" w:rsidP="00E46341">
            <w:pPr>
              <w:spacing w:after="0" w:line="240" w:lineRule="auto"/>
              <w:jc w:val="both"/>
              <w:rPr>
                <w:rFonts w:ascii="Footlight MT Light" w:eastAsia="Times New Roman" w:hAnsi="Footlight MT Light"/>
                <w:b/>
                <w:sz w:val="24"/>
                <w:szCs w:val="24"/>
              </w:rPr>
            </w:pPr>
          </w:p>
        </w:tc>
      </w:tr>
    </w:tbl>
    <w:p w14:paraId="604F09CA" w14:textId="77777777" w:rsidR="006757F3" w:rsidRDefault="006757F3" w:rsidP="00011639"/>
    <w:sectPr w:rsidR="006757F3" w:rsidSect="00AB3C5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61F3"/>
    <w:multiLevelType w:val="multilevel"/>
    <w:tmpl w:val="FB545206"/>
    <w:lvl w:ilvl="0">
      <w:start w:val="1"/>
      <w:numFmt w:val="decimal"/>
      <w:lvlText w:val="%1."/>
      <w:lvlJc w:val="left"/>
      <w:pPr>
        <w:tabs>
          <w:tab w:val="num" w:pos="720"/>
        </w:tabs>
        <w:ind w:left="720" w:hanging="720"/>
      </w:pPr>
      <w:rPr>
        <w:b w:val="0"/>
        <w:bCs w:val="0"/>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4D3341"/>
    <w:multiLevelType w:val="hybridMultilevel"/>
    <w:tmpl w:val="D65AB412"/>
    <w:lvl w:ilvl="0" w:tplc="EC948124">
      <w:start w:val="13"/>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A6A2C52"/>
    <w:multiLevelType w:val="hybridMultilevel"/>
    <w:tmpl w:val="C5ACF062"/>
    <w:lvl w:ilvl="0" w:tplc="8E48E9C4">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2386318">
    <w:abstractNumId w:val="2"/>
  </w:num>
  <w:num w:numId="2" w16cid:durableId="38407479">
    <w:abstractNumId w:val="0"/>
  </w:num>
  <w:num w:numId="3" w16cid:durableId="590964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F3"/>
    <w:rsid w:val="00011639"/>
    <w:rsid w:val="001E295D"/>
    <w:rsid w:val="00244213"/>
    <w:rsid w:val="00303839"/>
    <w:rsid w:val="0040122C"/>
    <w:rsid w:val="00406E16"/>
    <w:rsid w:val="005E53FE"/>
    <w:rsid w:val="006757F3"/>
    <w:rsid w:val="00871AA2"/>
    <w:rsid w:val="009677AA"/>
    <w:rsid w:val="00A832A1"/>
    <w:rsid w:val="00AB3C5F"/>
    <w:rsid w:val="00E66F20"/>
    <w:rsid w:val="00EA1FE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4E38"/>
  <w15:chartTrackingRefBased/>
  <w15:docId w15:val="{BDC0A1F7-9223-4527-AC6A-B18E106C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F3"/>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6757F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qFormat/>
    <w:rsid w:val="006757F3"/>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DOuna</dc:creator>
  <cp:keywords/>
  <dc:description/>
  <cp:lastModifiedBy>DOuna</cp:lastModifiedBy>
  <cp:revision>2</cp:revision>
  <dcterms:created xsi:type="dcterms:W3CDTF">2024-06-06T13:04:00Z</dcterms:created>
  <dcterms:modified xsi:type="dcterms:W3CDTF">2024-06-06T13:04:00Z</dcterms:modified>
</cp:coreProperties>
</file>