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070"/>
        <w:gridCol w:w="2340"/>
        <w:gridCol w:w="6120"/>
        <w:gridCol w:w="4320"/>
      </w:tblGrid>
      <w:tr w:rsidR="005A12C7" w:rsidRPr="00735F54" w14:paraId="58D65E83" w14:textId="77777777" w:rsidTr="000E74BC">
        <w:trPr>
          <w:trHeight w:val="593"/>
          <w:tblHeader/>
        </w:trPr>
        <w:tc>
          <w:tcPr>
            <w:tcW w:w="720" w:type="dxa"/>
            <w:tcBorders>
              <w:top w:val="single" w:sz="4" w:space="0" w:color="000000"/>
              <w:left w:val="single" w:sz="4" w:space="0" w:color="000000"/>
              <w:bottom w:val="single" w:sz="4" w:space="0" w:color="000000"/>
              <w:right w:val="single" w:sz="4" w:space="0" w:color="000000"/>
            </w:tcBorders>
          </w:tcPr>
          <w:p w14:paraId="53377B7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No</w:t>
            </w:r>
          </w:p>
        </w:tc>
        <w:tc>
          <w:tcPr>
            <w:tcW w:w="2070" w:type="dxa"/>
            <w:tcBorders>
              <w:top w:val="single" w:sz="4" w:space="0" w:color="000000"/>
              <w:left w:val="single" w:sz="4" w:space="0" w:color="000000"/>
              <w:bottom w:val="single" w:sz="4" w:space="0" w:color="000000"/>
              <w:right w:val="single" w:sz="4" w:space="0" w:color="000000"/>
            </w:tcBorders>
          </w:tcPr>
          <w:p w14:paraId="1287C84A"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 xml:space="preserve">Constituency name  </w:t>
            </w:r>
          </w:p>
        </w:tc>
        <w:tc>
          <w:tcPr>
            <w:tcW w:w="2340" w:type="dxa"/>
            <w:tcBorders>
              <w:top w:val="single" w:sz="4" w:space="0" w:color="000000"/>
              <w:left w:val="single" w:sz="4" w:space="0" w:color="000000"/>
              <w:bottom w:val="single" w:sz="4" w:space="0" w:color="000000"/>
              <w:right w:val="single" w:sz="4" w:space="0" w:color="000000"/>
            </w:tcBorders>
          </w:tcPr>
          <w:p w14:paraId="7E1B8CBB"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Allocation</w:t>
            </w:r>
            <w:r>
              <w:rPr>
                <w:rFonts w:ascii="Footlight MT Light" w:eastAsia="Times New Roman" w:hAnsi="Footlight MT Light"/>
                <w:b/>
                <w:sz w:val="24"/>
                <w:szCs w:val="24"/>
              </w:rPr>
              <w:t xml:space="preserve"> (Kshs.)</w:t>
            </w:r>
          </w:p>
        </w:tc>
        <w:tc>
          <w:tcPr>
            <w:tcW w:w="6120" w:type="dxa"/>
            <w:tcBorders>
              <w:top w:val="single" w:sz="4" w:space="0" w:color="000000"/>
              <w:left w:val="single" w:sz="4" w:space="0" w:color="000000"/>
              <w:bottom w:val="single" w:sz="4" w:space="0" w:color="000000"/>
              <w:right w:val="single" w:sz="4" w:space="0" w:color="000000"/>
            </w:tcBorders>
          </w:tcPr>
          <w:p w14:paraId="01F2D79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Compliance to NG-CDF Act and other guidelines</w:t>
            </w:r>
          </w:p>
        </w:tc>
        <w:tc>
          <w:tcPr>
            <w:tcW w:w="4320" w:type="dxa"/>
            <w:tcBorders>
              <w:top w:val="single" w:sz="4" w:space="0" w:color="000000"/>
              <w:left w:val="single" w:sz="4" w:space="0" w:color="000000"/>
              <w:bottom w:val="single" w:sz="4" w:space="0" w:color="000000"/>
              <w:right w:val="single" w:sz="4" w:space="0" w:color="000000"/>
            </w:tcBorders>
          </w:tcPr>
          <w:p w14:paraId="5C44DCC5" w14:textId="77777777" w:rsidR="006757F3" w:rsidRPr="00735F54" w:rsidRDefault="006757F3" w:rsidP="00661C73">
            <w:pPr>
              <w:spacing w:after="0" w:line="240" w:lineRule="auto"/>
              <w:jc w:val="both"/>
              <w:rPr>
                <w:rFonts w:ascii="Footlight MT Light" w:eastAsia="Times New Roman" w:hAnsi="Footlight MT Light"/>
                <w:b/>
                <w:sz w:val="24"/>
                <w:szCs w:val="24"/>
              </w:rPr>
            </w:pPr>
            <w:r>
              <w:rPr>
                <w:rFonts w:ascii="Footlight MT Light" w:eastAsia="Times New Roman" w:hAnsi="Footlight MT Light"/>
                <w:b/>
                <w:sz w:val="24"/>
                <w:szCs w:val="24"/>
              </w:rPr>
              <w:t>Committee’s Recommendations</w:t>
            </w:r>
          </w:p>
        </w:tc>
      </w:tr>
      <w:tr w:rsidR="000E74BC" w:rsidRPr="00FE2A5B" w14:paraId="3D6F05BE"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val="restart"/>
            <w:tcBorders>
              <w:top w:val="single" w:sz="4" w:space="0" w:color="auto"/>
              <w:left w:val="single" w:sz="4" w:space="0" w:color="auto"/>
              <w:right w:val="single" w:sz="4" w:space="0" w:color="auto"/>
            </w:tcBorders>
          </w:tcPr>
          <w:p w14:paraId="32529D17" w14:textId="75A02A73" w:rsidR="000E74BC" w:rsidRPr="000E74BC" w:rsidRDefault="000E74BC" w:rsidP="000E74BC">
            <w:pPr>
              <w:ind w:left="720"/>
              <w:jc w:val="both"/>
              <w:rPr>
                <w:rFonts w:ascii="Footlight MT Light" w:eastAsia="Times New Roman" w:hAnsi="Footlight MT Light"/>
                <w:b/>
              </w:rPr>
            </w:pPr>
            <w:r>
              <w:rPr>
                <w:rFonts w:ascii="Footlight MT Light" w:eastAsia="Times New Roman" w:hAnsi="Footlight MT Light"/>
                <w:b/>
              </w:rPr>
              <w:t>1.</w:t>
            </w:r>
          </w:p>
        </w:tc>
        <w:tc>
          <w:tcPr>
            <w:tcW w:w="2070" w:type="dxa"/>
            <w:vMerge w:val="restart"/>
            <w:tcBorders>
              <w:top w:val="single" w:sz="4" w:space="0" w:color="auto"/>
              <w:left w:val="single" w:sz="4" w:space="0" w:color="auto"/>
              <w:right w:val="single" w:sz="4" w:space="0" w:color="auto"/>
            </w:tcBorders>
          </w:tcPr>
          <w:p w14:paraId="26613F9E"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r w:rsidRPr="00FE2A5B">
              <w:rPr>
                <w:rFonts w:ascii="Footlight MT Light" w:eastAsia="Times New Roman" w:hAnsi="Footlight MT Light" w:cs="Times New Roman"/>
                <w:b/>
                <w:sz w:val="24"/>
                <w:szCs w:val="24"/>
              </w:rPr>
              <w:t>Tigania East</w:t>
            </w:r>
          </w:p>
        </w:tc>
        <w:tc>
          <w:tcPr>
            <w:tcW w:w="2340" w:type="dxa"/>
            <w:vMerge w:val="restart"/>
            <w:tcBorders>
              <w:top w:val="single" w:sz="4" w:space="0" w:color="auto"/>
              <w:left w:val="single" w:sz="4" w:space="0" w:color="auto"/>
              <w:right w:val="single" w:sz="4" w:space="0" w:color="auto"/>
            </w:tcBorders>
          </w:tcPr>
          <w:p w14:paraId="7BD25614"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sz w:val="24"/>
                <w:szCs w:val="24"/>
              </w:rPr>
              <w:t>Normal Allocation, Kshs.175,361,810</w:t>
            </w:r>
          </w:p>
          <w:p w14:paraId="4F3D3A9F"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p w14:paraId="7AFEBB40"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sz w:val="24"/>
                <w:szCs w:val="24"/>
              </w:rPr>
              <w:t>JSS Allocation, Kshs.13,966,583</w:t>
            </w:r>
          </w:p>
          <w:p w14:paraId="1962901F"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p w14:paraId="753FB120"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sz w:val="24"/>
                <w:szCs w:val="24"/>
              </w:rPr>
              <w:t>Total Allocation, Kshs.189,328,393</w:t>
            </w:r>
          </w:p>
        </w:tc>
        <w:tc>
          <w:tcPr>
            <w:tcW w:w="6120" w:type="dxa"/>
            <w:tcBorders>
              <w:top w:val="single" w:sz="4" w:space="0" w:color="auto"/>
              <w:left w:val="single" w:sz="4" w:space="0" w:color="auto"/>
              <w:bottom w:val="single" w:sz="4" w:space="0" w:color="auto"/>
              <w:right w:val="single" w:sz="4" w:space="0" w:color="auto"/>
            </w:tcBorders>
          </w:tcPr>
          <w:p w14:paraId="277B1DD9" w14:textId="77777777" w:rsidR="000E74BC" w:rsidRPr="00FE2A5B" w:rsidRDefault="000E74BC" w:rsidP="00E46341">
            <w:pPr>
              <w:spacing w:after="0" w:line="240" w:lineRule="auto"/>
              <w:jc w:val="both"/>
              <w:rPr>
                <w:rFonts w:ascii="Footlight MT Light" w:hAnsi="Footlight MT Light" w:cs="Calibri"/>
                <w:b/>
                <w:bCs/>
                <w:color w:val="000000"/>
                <w:sz w:val="24"/>
                <w:szCs w:val="24"/>
              </w:rPr>
            </w:pPr>
            <w:r w:rsidRPr="00FE2A5B">
              <w:rPr>
                <w:rFonts w:ascii="Footlight MT Light" w:hAnsi="Footlight MT Light" w:cs="Calibri"/>
                <w:b/>
                <w:bCs/>
                <w:color w:val="000000"/>
                <w:sz w:val="24"/>
                <w:szCs w:val="24"/>
              </w:rPr>
              <w:t>All proposed projects complied apart from the following;</w:t>
            </w:r>
          </w:p>
        </w:tc>
        <w:tc>
          <w:tcPr>
            <w:tcW w:w="4320" w:type="dxa"/>
            <w:tcBorders>
              <w:top w:val="single" w:sz="4" w:space="0" w:color="auto"/>
              <w:left w:val="single" w:sz="4" w:space="0" w:color="auto"/>
              <w:bottom w:val="single" w:sz="4" w:space="0" w:color="auto"/>
              <w:right w:val="single" w:sz="4" w:space="0" w:color="auto"/>
            </w:tcBorders>
          </w:tcPr>
          <w:p w14:paraId="3934E62C" w14:textId="77777777" w:rsidR="000E74BC" w:rsidRPr="00FE2A5B" w:rsidRDefault="000E74BC" w:rsidP="00E46341">
            <w:pPr>
              <w:spacing w:after="0" w:line="240" w:lineRule="auto"/>
              <w:jc w:val="both"/>
              <w:rPr>
                <w:rFonts w:ascii="Footlight MT Light" w:eastAsia="Times New Roman" w:hAnsi="Footlight MT Light"/>
                <w:b/>
                <w:bCs/>
                <w:sz w:val="24"/>
                <w:szCs w:val="24"/>
              </w:rPr>
            </w:pPr>
            <w:r w:rsidRPr="00FE2A5B">
              <w:rPr>
                <w:rFonts w:ascii="Footlight MT Light" w:eastAsia="Times New Roman" w:hAnsi="Footlight MT Light"/>
                <w:b/>
                <w:bCs/>
                <w:sz w:val="24"/>
                <w:szCs w:val="24"/>
              </w:rPr>
              <w:t>All proposed projects are recommended for approval apart from the following;</w:t>
            </w:r>
          </w:p>
        </w:tc>
      </w:tr>
      <w:tr w:rsidR="000E74BC" w:rsidRPr="00FE2A5B" w14:paraId="4E63AA8E"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673C291B"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0A01DDE8"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04AAD2BE"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2863851D"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Climate Change and Mitigation Activities, Kshs.2,100,000- Purchase, delivery, planting of six hundred certified tree seedlings and one month sustaining of six hundred   certified tree seedlings Each @ Kshs.500 In the Following Schools;</w:t>
            </w:r>
          </w:p>
          <w:p w14:paraId="0CF664F5"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Mutewa primary school</w:t>
            </w:r>
          </w:p>
          <w:p w14:paraId="638BC00D"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Kathanene primary school</w:t>
            </w:r>
          </w:p>
          <w:p w14:paraId="0353A3A5"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Kirimanchuma primary school</w:t>
            </w:r>
          </w:p>
          <w:p w14:paraId="3AB99A27"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Kirima primary school</w:t>
            </w:r>
          </w:p>
          <w:p w14:paraId="7D5BA042"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Kinang'aru primary school</w:t>
            </w:r>
          </w:p>
          <w:p w14:paraId="3F200FDE"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Kirumone primary school</w:t>
            </w:r>
          </w:p>
          <w:p w14:paraId="4C0D9648" w14:textId="77777777" w:rsidR="000E74BC" w:rsidRPr="00FE2A5B" w:rsidRDefault="000E74BC" w:rsidP="000E74BC">
            <w:pPr>
              <w:numPr>
                <w:ilvl w:val="0"/>
                <w:numId w:val="4"/>
              </w:num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Karurune primary school</w:t>
            </w:r>
          </w:p>
          <w:p w14:paraId="404B31CE" w14:textId="77777777" w:rsidR="000E74BC" w:rsidRPr="00FE2A5B" w:rsidRDefault="000E74BC" w:rsidP="00E46341">
            <w:pPr>
              <w:spacing w:after="0" w:line="240" w:lineRule="auto"/>
              <w:jc w:val="both"/>
              <w:rPr>
                <w:rFonts w:ascii="Footlight MT Light" w:hAnsi="Footlight MT Light" w:cs="Calibri"/>
                <w:color w:val="000000"/>
                <w:sz w:val="24"/>
                <w:szCs w:val="24"/>
              </w:rPr>
            </w:pPr>
          </w:p>
          <w:p w14:paraId="1FC28A06" w14:textId="77777777" w:rsidR="000E74BC" w:rsidRPr="00FE2A5B" w:rsidRDefault="000E74BC" w:rsidP="00E46341">
            <w:pPr>
              <w:spacing w:after="0" w:line="240" w:lineRule="auto"/>
              <w:jc w:val="both"/>
              <w:rPr>
                <w:rFonts w:ascii="Footlight MT Light" w:hAnsi="Footlight MT Light" w:cs="Calibri"/>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tcPr>
          <w:p w14:paraId="0535C806" w14:textId="77777777" w:rsidR="000E74BC" w:rsidRPr="00FE2A5B" w:rsidRDefault="000E74BC"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7B47385C" w14:textId="77777777" w:rsidR="000E74BC" w:rsidRPr="00FE2A5B" w:rsidRDefault="000E74BC" w:rsidP="00E46341">
            <w:pPr>
              <w:spacing w:after="0" w:line="240" w:lineRule="auto"/>
              <w:jc w:val="both"/>
              <w:rPr>
                <w:rFonts w:ascii="Footlight MT Light" w:eastAsia="Times New Roman" w:hAnsi="Footlight MT Light"/>
                <w:b/>
                <w:sz w:val="24"/>
                <w:szCs w:val="24"/>
              </w:rPr>
            </w:pPr>
          </w:p>
          <w:p w14:paraId="764A2BBD" w14:textId="77777777" w:rsidR="000E74BC" w:rsidRPr="00FE2A5B" w:rsidRDefault="000E74BC"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Proposed project to await guidelines on climate change projects.</w:t>
            </w:r>
          </w:p>
          <w:p w14:paraId="167CD77E" w14:textId="77777777" w:rsidR="000E74BC" w:rsidRPr="00FE2A5B" w:rsidRDefault="000E74BC" w:rsidP="00E46341">
            <w:pPr>
              <w:spacing w:after="0" w:line="240" w:lineRule="auto"/>
              <w:jc w:val="both"/>
              <w:rPr>
                <w:rFonts w:ascii="Footlight MT Light" w:eastAsia="Times New Roman" w:hAnsi="Footlight MT Light"/>
                <w:b/>
                <w:sz w:val="24"/>
                <w:szCs w:val="24"/>
              </w:rPr>
            </w:pPr>
          </w:p>
        </w:tc>
      </w:tr>
      <w:tr w:rsidR="000E74BC" w:rsidRPr="00FE2A5B" w14:paraId="7EAB37D1"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6092E2C0"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7E11BF6E"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09E9DD72"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BE102E7"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Athwana cattle dip-mutewa primary -mlango Roard, Kshs.5,867,680.03- Construction to completion of 4km long access road; heavy bush clearing, heavy grading with watering, murraming and compacting and provide gravel wearing course excavation, free haul, spread, water and compact graving with specifications. The road has rocks and also need to be widened hence extraction of tree stamps.</w:t>
            </w:r>
          </w:p>
        </w:tc>
        <w:tc>
          <w:tcPr>
            <w:tcW w:w="4320" w:type="dxa"/>
            <w:vMerge w:val="restart"/>
            <w:tcBorders>
              <w:top w:val="single" w:sz="4" w:space="0" w:color="auto"/>
              <w:left w:val="single" w:sz="4" w:space="0" w:color="auto"/>
              <w:right w:val="single" w:sz="4" w:space="0" w:color="auto"/>
            </w:tcBorders>
          </w:tcPr>
          <w:p w14:paraId="3239435E" w14:textId="77777777" w:rsidR="000E74BC" w:rsidRPr="00FE2A5B" w:rsidRDefault="000E74BC"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Not recommended for approval</w:t>
            </w:r>
          </w:p>
          <w:p w14:paraId="59DA32E8" w14:textId="77777777" w:rsidR="000E74BC" w:rsidRPr="00FE2A5B" w:rsidRDefault="000E74BC" w:rsidP="00E46341">
            <w:pPr>
              <w:spacing w:after="0" w:line="240" w:lineRule="auto"/>
              <w:jc w:val="both"/>
              <w:rPr>
                <w:rFonts w:ascii="Footlight MT Light" w:eastAsia="Times New Roman" w:hAnsi="Footlight MT Light"/>
                <w:b/>
                <w:sz w:val="24"/>
                <w:szCs w:val="24"/>
              </w:rPr>
            </w:pPr>
          </w:p>
          <w:p w14:paraId="22DFCC3E" w14:textId="77777777" w:rsidR="000E74BC" w:rsidRPr="00FE2A5B" w:rsidRDefault="000E74BC"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 xml:space="preserve">The proposed projects do not fall under the exclusive functions of the National Government </w:t>
            </w:r>
          </w:p>
        </w:tc>
      </w:tr>
      <w:tr w:rsidR="000E74BC" w:rsidRPr="00FE2A5B" w14:paraId="43FC86F3"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09895034"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73D6975B"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0A796E4E"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F895DB5"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Mathare-akaiga pry school road, Kshs.4,040,673.41- Construction to completion of 2 km long access road; heavy bush clearing, heavy grading with watering, murraming and compacting and provide gravel wearing course excavation, free haul, spread, water and compact graving with specifications.</w:t>
            </w:r>
          </w:p>
          <w:p w14:paraId="03DCCB83"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The road has hard rocks and need to be widened thus heavy tree stamps extraction.</w:t>
            </w:r>
          </w:p>
        </w:tc>
        <w:tc>
          <w:tcPr>
            <w:tcW w:w="4320" w:type="dxa"/>
            <w:vMerge/>
            <w:tcBorders>
              <w:left w:val="single" w:sz="4" w:space="0" w:color="auto"/>
              <w:right w:val="single" w:sz="4" w:space="0" w:color="auto"/>
            </w:tcBorders>
          </w:tcPr>
          <w:p w14:paraId="487823A7" w14:textId="77777777" w:rsidR="000E74BC" w:rsidRPr="00FE2A5B" w:rsidRDefault="000E74BC" w:rsidP="00E46341">
            <w:pPr>
              <w:spacing w:after="0" w:line="240" w:lineRule="auto"/>
              <w:jc w:val="both"/>
              <w:rPr>
                <w:rFonts w:ascii="Footlight MT Light" w:eastAsia="Times New Roman" w:hAnsi="Footlight MT Light"/>
                <w:b/>
                <w:sz w:val="24"/>
                <w:szCs w:val="24"/>
              </w:rPr>
            </w:pPr>
          </w:p>
        </w:tc>
      </w:tr>
      <w:tr w:rsidR="000E74BC" w:rsidRPr="00FE2A5B" w14:paraId="183791E2"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49D1E47B"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1437121C"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1FBE8455"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AE76148"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 xml:space="preserve">Ametho primary -mutuntu-irindiro primary school road, Kshs.3,091,645.11- Construction to completion of 2.2 km long access road; heavy bush clearing, heavy grading with </w:t>
            </w:r>
            <w:r w:rsidRPr="00FE2A5B">
              <w:rPr>
                <w:rFonts w:ascii="Footlight MT Light" w:hAnsi="Footlight MT Light" w:cs="Calibri"/>
                <w:color w:val="000000"/>
                <w:sz w:val="24"/>
                <w:szCs w:val="24"/>
              </w:rPr>
              <w:lastRenderedPageBreak/>
              <w:t>watering, murraming and compacting and provide gravel wearing course excavation, free haul, spread, water and compact graving with specifications.</w:t>
            </w:r>
          </w:p>
        </w:tc>
        <w:tc>
          <w:tcPr>
            <w:tcW w:w="4320" w:type="dxa"/>
            <w:vMerge/>
            <w:tcBorders>
              <w:left w:val="single" w:sz="4" w:space="0" w:color="auto"/>
              <w:bottom w:val="single" w:sz="4" w:space="0" w:color="auto"/>
              <w:right w:val="single" w:sz="4" w:space="0" w:color="auto"/>
            </w:tcBorders>
          </w:tcPr>
          <w:p w14:paraId="498BEE08" w14:textId="77777777" w:rsidR="000E74BC" w:rsidRPr="00FE2A5B" w:rsidRDefault="000E74BC" w:rsidP="00E46341">
            <w:pPr>
              <w:spacing w:after="0" w:line="240" w:lineRule="auto"/>
              <w:jc w:val="both"/>
              <w:rPr>
                <w:rFonts w:ascii="Footlight MT Light" w:eastAsia="Times New Roman" w:hAnsi="Footlight MT Light"/>
                <w:b/>
                <w:sz w:val="24"/>
                <w:szCs w:val="24"/>
              </w:rPr>
            </w:pPr>
          </w:p>
        </w:tc>
      </w:tr>
      <w:tr w:rsidR="000E74BC" w:rsidRPr="00FE2A5B" w14:paraId="7393B4AC"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26E450F0"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2001C5C1"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7F0C4A49"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58AD62C"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 xml:space="preserve">Kenya Medical Training College-Tigania East, Kshs.10,000,000- Construction of a storied building with four lecture halls in ground floor and four lecture halls in first floor totaling to eight each with a capacity 400 hundred students; phase 1: Foundation, walling and slab at Kshs.10,000,000 and purchase of 400 students lecture chairs at Kshs.200,000, 8 lecturing tables at Kshs.80,000and 8 lecturer chairs at Kshs.40,000 and 8 modern writing teaching board at Kshs.80,000 </w:t>
            </w:r>
          </w:p>
        </w:tc>
        <w:tc>
          <w:tcPr>
            <w:tcW w:w="4320" w:type="dxa"/>
            <w:tcBorders>
              <w:top w:val="single" w:sz="4" w:space="0" w:color="auto"/>
              <w:left w:val="single" w:sz="4" w:space="0" w:color="auto"/>
              <w:bottom w:val="single" w:sz="4" w:space="0" w:color="auto"/>
              <w:right w:val="single" w:sz="4" w:space="0" w:color="auto"/>
            </w:tcBorders>
          </w:tcPr>
          <w:p w14:paraId="0A470F02" w14:textId="77777777" w:rsidR="000E74BC" w:rsidRPr="00FE2A5B" w:rsidRDefault="000E74BC"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63177BF8" w14:textId="77777777" w:rsidR="000E74BC" w:rsidRPr="00FE2A5B" w:rsidRDefault="000E74BC" w:rsidP="00E46341">
            <w:pPr>
              <w:spacing w:after="0" w:line="240" w:lineRule="auto"/>
              <w:jc w:val="both"/>
              <w:rPr>
                <w:rFonts w:ascii="Footlight MT Light" w:eastAsia="Times New Roman" w:hAnsi="Footlight MT Light"/>
                <w:b/>
                <w:sz w:val="24"/>
                <w:szCs w:val="24"/>
              </w:rPr>
            </w:pPr>
          </w:p>
          <w:p w14:paraId="16FBB46F" w14:textId="77777777" w:rsidR="000E74BC" w:rsidRPr="00FE2A5B" w:rsidRDefault="000E74BC"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NG-CDFC to submit approval letter from KMTC Board for the establishment of the campus</w:t>
            </w:r>
          </w:p>
          <w:p w14:paraId="5145C9E9" w14:textId="77777777" w:rsidR="000E74BC" w:rsidRPr="00FE2A5B" w:rsidRDefault="000E74BC" w:rsidP="00E46341">
            <w:pPr>
              <w:spacing w:after="0" w:line="240" w:lineRule="auto"/>
              <w:jc w:val="both"/>
              <w:rPr>
                <w:rFonts w:ascii="Footlight MT Light" w:eastAsia="Times New Roman" w:hAnsi="Footlight MT Light"/>
                <w:bCs/>
                <w:sz w:val="24"/>
                <w:szCs w:val="24"/>
              </w:rPr>
            </w:pPr>
          </w:p>
          <w:p w14:paraId="7D5FC356" w14:textId="77777777" w:rsidR="000E74BC" w:rsidRPr="00FE2A5B" w:rsidRDefault="000E74BC"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NG-CDFC to submit drawings and BoQs for the proposed project</w:t>
            </w:r>
          </w:p>
          <w:p w14:paraId="5DD5B652" w14:textId="77777777" w:rsidR="000E74BC" w:rsidRPr="00FE2A5B" w:rsidRDefault="000E74BC" w:rsidP="00E46341">
            <w:pPr>
              <w:spacing w:after="0" w:line="240" w:lineRule="auto"/>
              <w:jc w:val="both"/>
              <w:rPr>
                <w:rFonts w:ascii="Footlight MT Light" w:eastAsia="Times New Roman" w:hAnsi="Footlight MT Light"/>
                <w:bCs/>
                <w:sz w:val="24"/>
                <w:szCs w:val="24"/>
              </w:rPr>
            </w:pPr>
          </w:p>
          <w:p w14:paraId="6AC06032" w14:textId="77777777" w:rsidR="000E74BC" w:rsidRPr="00FE2A5B" w:rsidRDefault="000E74BC"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NG-CDFC to confirm availability of land where the campus would be constructed once approved</w:t>
            </w:r>
          </w:p>
          <w:p w14:paraId="71375A64" w14:textId="77777777" w:rsidR="000E74BC" w:rsidRPr="00FE2A5B" w:rsidRDefault="000E74BC"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Cs/>
                <w:sz w:val="24"/>
                <w:szCs w:val="24"/>
              </w:rPr>
              <w:t>The estimated cost has been provided as Kshs.36,000,000</w:t>
            </w:r>
          </w:p>
        </w:tc>
      </w:tr>
      <w:tr w:rsidR="000E74BC" w:rsidRPr="00FE2A5B" w14:paraId="725C5074"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04871E8D"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4EABC8A2"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2F3CDEA5"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4D363A14"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Mikinduri ward-ICT Hub, Kshs.2,630,427- Installation of one  ICT hub at Mikinduri ward : Cost of installation(ministry of ICT)=ksh.1,100,000, purchase of furniture=(5 executive tables each 20,000=ksh.100,000 and 15 executive chairs each at 10,000=ksh.150,000)=ksh.250,000, payment of rent ksh.10,000 per month for 12 months=ksh.120,000, payment of Electricity ksh.5,000 per month for 12 months=ksh.60,000, Payment of water ksh.5,000 per month for 12 months =ksh.60,000, purchase of 15 laptops HP model at ksh.50,000 each ksh.750,000  and maintenance and repairs charges=ksh.290,427</w:t>
            </w:r>
          </w:p>
        </w:tc>
        <w:tc>
          <w:tcPr>
            <w:tcW w:w="4320" w:type="dxa"/>
            <w:vMerge w:val="restart"/>
            <w:tcBorders>
              <w:top w:val="single" w:sz="4" w:space="0" w:color="auto"/>
              <w:left w:val="single" w:sz="4" w:space="0" w:color="auto"/>
              <w:right w:val="single" w:sz="4" w:space="0" w:color="auto"/>
            </w:tcBorders>
          </w:tcPr>
          <w:p w14:paraId="345EFED0" w14:textId="77777777" w:rsidR="000E74BC" w:rsidRPr="00FE2A5B" w:rsidRDefault="000E74BC"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3B623A78" w14:textId="77777777" w:rsidR="000E74BC" w:rsidRPr="00FE2A5B" w:rsidRDefault="000E74BC" w:rsidP="00E46341">
            <w:pPr>
              <w:spacing w:after="0" w:line="240" w:lineRule="auto"/>
              <w:jc w:val="both"/>
              <w:rPr>
                <w:rFonts w:ascii="Footlight MT Light" w:eastAsia="Times New Roman" w:hAnsi="Footlight MT Light"/>
                <w:b/>
                <w:sz w:val="24"/>
                <w:szCs w:val="24"/>
              </w:rPr>
            </w:pPr>
          </w:p>
          <w:p w14:paraId="4269DD51" w14:textId="77777777" w:rsidR="000E74BC" w:rsidRPr="00FE2A5B" w:rsidRDefault="000E74BC"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Proposed project to await detailed guidelines from the Ministry of IC&amp;DE</w:t>
            </w:r>
          </w:p>
        </w:tc>
      </w:tr>
      <w:tr w:rsidR="000E74BC" w:rsidRPr="00FE2A5B" w14:paraId="7188E8A1" w14:textId="77777777" w:rsidTr="000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bottom w:val="single" w:sz="4" w:space="0" w:color="auto"/>
              <w:right w:val="single" w:sz="4" w:space="0" w:color="auto"/>
            </w:tcBorders>
          </w:tcPr>
          <w:p w14:paraId="5A875EC9"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bottom w:val="single" w:sz="4" w:space="0" w:color="auto"/>
              <w:right w:val="single" w:sz="4" w:space="0" w:color="auto"/>
            </w:tcBorders>
          </w:tcPr>
          <w:p w14:paraId="164C2D8C" w14:textId="77777777" w:rsidR="000E74BC" w:rsidRPr="00FE2A5B" w:rsidRDefault="000E74BC"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bottom w:val="single" w:sz="4" w:space="0" w:color="auto"/>
              <w:right w:val="single" w:sz="4" w:space="0" w:color="auto"/>
            </w:tcBorders>
          </w:tcPr>
          <w:p w14:paraId="037C1640" w14:textId="77777777" w:rsidR="000E74BC" w:rsidRPr="00FE2A5B" w:rsidRDefault="000E74BC"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4A6E462E" w14:textId="77777777" w:rsidR="000E74BC" w:rsidRPr="00FE2A5B" w:rsidRDefault="000E74BC"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 xml:space="preserve">Thangatha ward-ICT Hub, Kshs.2,630,427- Installation of one  ICT hub at Mikinduri ward : Cost of installation(ministry of ICT)=ksh.1,100,000, purchase of furniture=(5 executive tables each 20,000=ksh.100,000 and 15 executive chairs each at 10,000=ksh.150,000)=ksh.250,000, payment of rent </w:t>
            </w:r>
            <w:r w:rsidRPr="00FE2A5B">
              <w:rPr>
                <w:rFonts w:ascii="Footlight MT Light" w:hAnsi="Footlight MT Light" w:cs="Calibri"/>
                <w:color w:val="000000"/>
                <w:sz w:val="24"/>
                <w:szCs w:val="24"/>
              </w:rPr>
              <w:lastRenderedPageBreak/>
              <w:t>ksh.10,000 per month for 12 months=ksh.120,000, payment of Electricity ksh.5,000 per month for 12 months=ksh.60,000, Payment of water ksh.5,000 per month for 12 months =ksh.60,000, purchase of 15 laptops HP model at ksh.50,000 each ksh.750,000  and maintenance and repairs charges=ksh.290,427</w:t>
            </w:r>
          </w:p>
        </w:tc>
        <w:tc>
          <w:tcPr>
            <w:tcW w:w="4320" w:type="dxa"/>
            <w:vMerge/>
            <w:tcBorders>
              <w:left w:val="single" w:sz="4" w:space="0" w:color="auto"/>
              <w:bottom w:val="single" w:sz="4" w:space="0" w:color="auto"/>
              <w:right w:val="single" w:sz="4" w:space="0" w:color="auto"/>
            </w:tcBorders>
          </w:tcPr>
          <w:p w14:paraId="03871DA5" w14:textId="77777777" w:rsidR="000E74BC" w:rsidRPr="00FE2A5B" w:rsidRDefault="000E74BC" w:rsidP="00E46341">
            <w:pPr>
              <w:spacing w:after="0" w:line="240" w:lineRule="auto"/>
              <w:jc w:val="both"/>
              <w:rPr>
                <w:rFonts w:ascii="Footlight MT Light" w:eastAsia="Times New Roman" w:hAnsi="Footlight MT Light"/>
                <w:b/>
                <w:sz w:val="24"/>
                <w:szCs w:val="24"/>
              </w:rPr>
            </w:pPr>
          </w:p>
        </w:tc>
      </w:tr>
    </w:tbl>
    <w:p w14:paraId="604F09CA" w14:textId="77777777" w:rsidR="006757F3" w:rsidRDefault="006757F3" w:rsidP="00AB6E74"/>
    <w:sectPr w:rsidR="006757F3" w:rsidSect="000361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1F3"/>
    <w:multiLevelType w:val="multilevel"/>
    <w:tmpl w:val="FB545206"/>
    <w:lvl w:ilvl="0">
      <w:start w:val="1"/>
      <w:numFmt w:val="decimal"/>
      <w:lvlText w:val="%1."/>
      <w:lvlJc w:val="left"/>
      <w:pPr>
        <w:tabs>
          <w:tab w:val="num" w:pos="720"/>
        </w:tabs>
        <w:ind w:left="720" w:hanging="720"/>
      </w:pPr>
      <w:rPr>
        <w:b w:val="0"/>
        <w:bCs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D3341"/>
    <w:multiLevelType w:val="hybridMultilevel"/>
    <w:tmpl w:val="D65AB412"/>
    <w:lvl w:ilvl="0" w:tplc="EC948124">
      <w:start w:val="13"/>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A6A2C52"/>
    <w:multiLevelType w:val="hybridMultilevel"/>
    <w:tmpl w:val="C5ACF062"/>
    <w:lvl w:ilvl="0" w:tplc="8E48E9C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386318">
    <w:abstractNumId w:val="2"/>
  </w:num>
  <w:num w:numId="2" w16cid:durableId="38407479">
    <w:abstractNumId w:val="0"/>
  </w:num>
  <w:num w:numId="3" w16cid:durableId="590964665">
    <w:abstractNumId w:val="1"/>
  </w:num>
  <w:num w:numId="4" w16cid:durableId="766193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F3"/>
    <w:rsid w:val="00011639"/>
    <w:rsid w:val="000361C8"/>
    <w:rsid w:val="000E74BC"/>
    <w:rsid w:val="00140D3E"/>
    <w:rsid w:val="001E295D"/>
    <w:rsid w:val="00244213"/>
    <w:rsid w:val="00303839"/>
    <w:rsid w:val="0040122C"/>
    <w:rsid w:val="00406E16"/>
    <w:rsid w:val="005769C5"/>
    <w:rsid w:val="005A12C7"/>
    <w:rsid w:val="005E53FE"/>
    <w:rsid w:val="006757F3"/>
    <w:rsid w:val="009677AA"/>
    <w:rsid w:val="009B70BD"/>
    <w:rsid w:val="00A832A1"/>
    <w:rsid w:val="00AB6E74"/>
    <w:rsid w:val="00AD53E2"/>
    <w:rsid w:val="00C8093A"/>
    <w:rsid w:val="00E66F20"/>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4E38"/>
  <w15:chartTrackingRefBased/>
  <w15:docId w15:val="{BDC0A1F7-9223-4527-AC6A-B18E106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F3"/>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6757F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6757F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DOuna</dc:creator>
  <cp:keywords/>
  <dc:description/>
  <cp:lastModifiedBy>Yvonne Musili</cp:lastModifiedBy>
  <cp:revision>2</cp:revision>
  <dcterms:created xsi:type="dcterms:W3CDTF">2024-06-11T13:03:00Z</dcterms:created>
  <dcterms:modified xsi:type="dcterms:W3CDTF">2024-06-11T13:03:00Z</dcterms:modified>
</cp:coreProperties>
</file>