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F71E" w14:textId="77777777" w:rsidR="00FA3325" w:rsidRPr="00E057B7" w:rsidRDefault="00FA3325" w:rsidP="00FA3325">
      <w:pPr>
        <w:spacing w:after="0" w:line="240" w:lineRule="auto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E057B7">
        <w:rPr>
          <w:rFonts w:ascii="Footlight MT Light" w:eastAsia="Times New Roman" w:hAnsi="Footlight MT Light" w:cs="Times New Roman"/>
          <w:b/>
          <w:sz w:val="24"/>
          <w:szCs w:val="24"/>
        </w:rPr>
        <w:t>Project Proposals for 2023/24 Financial Year</w:t>
      </w:r>
    </w:p>
    <w:p w14:paraId="6D433155" w14:textId="77777777" w:rsidR="00FA3325" w:rsidRPr="00E057B7" w:rsidRDefault="00FA3325" w:rsidP="00FA3325">
      <w:pPr>
        <w:spacing w:after="0" w:line="240" w:lineRule="auto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</w:p>
    <w:tbl>
      <w:tblPr>
        <w:tblW w:w="15127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2154"/>
        <w:gridCol w:w="5946"/>
        <w:gridCol w:w="4687"/>
      </w:tblGrid>
      <w:tr w:rsidR="00FA3325" w:rsidRPr="00E057B7" w14:paraId="350F3FC4" w14:textId="77777777" w:rsidTr="00A622DF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866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7E6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A09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(Kshs.)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00D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209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Committee’s Recommendations</w:t>
            </w:r>
          </w:p>
        </w:tc>
      </w:tr>
      <w:tr w:rsidR="00FA3325" w:rsidRPr="00E057B7" w14:paraId="0DE8371B" w14:textId="77777777" w:rsidTr="00A622DF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9DEE" w14:textId="77777777" w:rsidR="00FA3325" w:rsidRPr="00E057B7" w:rsidRDefault="00FA3325" w:rsidP="00FA332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530" w:type="dxa"/>
            <w:vMerge w:val="restart"/>
          </w:tcPr>
          <w:p w14:paraId="58D1AA99" w14:textId="2D3DC523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proofErr w:type="spellStart"/>
            <w:r w:rsidRPr="00E057B7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Igembe</w:t>
            </w:r>
            <w:proofErr w:type="spellEnd"/>
            <w:r w:rsidRPr="00E057B7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 xml:space="preserve"> North</w:t>
            </w:r>
          </w:p>
        </w:tc>
        <w:tc>
          <w:tcPr>
            <w:tcW w:w="2154" w:type="dxa"/>
            <w:vMerge w:val="restart"/>
          </w:tcPr>
          <w:p w14:paraId="7E8A9914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E057B7">
              <w:rPr>
                <w:rFonts w:ascii="Footlight MT Light" w:hAnsi="Footlight MT Light"/>
                <w:sz w:val="24"/>
                <w:szCs w:val="24"/>
              </w:rPr>
              <w:t>Normal Allocation, Kshs.</w:t>
            </w:r>
            <w:r w:rsidRPr="00E057B7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175,361,810</w:t>
            </w:r>
          </w:p>
          <w:p w14:paraId="261F8AE1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231FA1E5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  <w:r w:rsidRPr="00E057B7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E057B7"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  <w:t>12,605,133</w:t>
            </w:r>
          </w:p>
          <w:p w14:paraId="0F92A4F6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Cs/>
                <w:sz w:val="24"/>
                <w:szCs w:val="24"/>
              </w:rPr>
            </w:pPr>
          </w:p>
          <w:p w14:paraId="07CF31E2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E057B7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E057B7">
              <w:rPr>
                <w:rFonts w:ascii="Footlight MT Light" w:eastAsia="Times New Roman" w:hAnsi="Footlight MT Light" w:cs="Arial"/>
                <w:b/>
                <w:sz w:val="24"/>
                <w:szCs w:val="24"/>
                <w:lang w:val="en-GB"/>
              </w:rPr>
              <w:t>187,966,943</w:t>
            </w:r>
          </w:p>
        </w:tc>
        <w:tc>
          <w:tcPr>
            <w:tcW w:w="5946" w:type="dxa"/>
          </w:tcPr>
          <w:p w14:paraId="32B96DA4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57B7">
              <w:rPr>
                <w:rFonts w:ascii="Footlight MT Light" w:hAnsi="Footlight MT Light"/>
                <w:b/>
                <w:sz w:val="24"/>
                <w:szCs w:val="24"/>
              </w:rPr>
              <w:t>All proposed projects complied apart from the following;</w:t>
            </w:r>
          </w:p>
        </w:tc>
        <w:tc>
          <w:tcPr>
            <w:tcW w:w="4687" w:type="dxa"/>
          </w:tcPr>
          <w:p w14:paraId="0EAFEB72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 proposed projects recommended for approval apart from</w:t>
            </w:r>
            <w:r w:rsidRPr="00E057B7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 </w:t>
            </w:r>
          </w:p>
        </w:tc>
      </w:tr>
      <w:tr w:rsidR="00FA3325" w:rsidRPr="00E057B7" w14:paraId="48E8DDAA" w14:textId="77777777" w:rsidTr="00A622DF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AD40" w14:textId="77777777" w:rsidR="00FA3325" w:rsidRPr="00E057B7" w:rsidRDefault="00FA3325" w:rsidP="00FA332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530" w:type="dxa"/>
            <w:vMerge/>
          </w:tcPr>
          <w:p w14:paraId="4F812AB2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294FBC37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946" w:type="dxa"/>
          </w:tcPr>
          <w:p w14:paraId="72F463BE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E057B7">
              <w:rPr>
                <w:rFonts w:ascii="Footlight MT Light" w:hAnsi="Footlight MT Light" w:cs="Calibri"/>
                <w:sz w:val="24"/>
                <w:szCs w:val="24"/>
              </w:rPr>
              <w:t>Climate change mitigation activities, Kshs.</w:t>
            </w:r>
            <w:r w:rsidRPr="00E057B7">
              <w:rPr>
                <w:rFonts w:ascii="Footlight MT Light" w:eastAsia="Times New Roman" w:hAnsi="Footlight MT Light" w:cs="Calibri"/>
                <w:sz w:val="24"/>
                <w:szCs w:val="24"/>
              </w:rPr>
              <w:fldChar w:fldCharType="begin"/>
            </w:r>
            <w:r w:rsidRPr="00E057B7">
              <w:rPr>
                <w:rFonts w:ascii="Footlight MT Light" w:eastAsia="Times New Roman" w:hAnsi="Footlight MT Light" w:cs="Calibri"/>
                <w:sz w:val="24"/>
                <w:szCs w:val="24"/>
              </w:rPr>
              <w:instrText xml:space="preserve"> =SUM(ABOVE) </w:instrText>
            </w:r>
            <w:r w:rsidRPr="00E057B7">
              <w:rPr>
                <w:rFonts w:ascii="Footlight MT Light" w:eastAsia="Times New Roman" w:hAnsi="Footlight MT Light" w:cs="Calibri"/>
                <w:sz w:val="24"/>
                <w:szCs w:val="24"/>
              </w:rPr>
              <w:fldChar w:fldCharType="separate"/>
            </w:r>
            <w:r w:rsidRPr="00E057B7">
              <w:rPr>
                <w:rFonts w:ascii="Footlight MT Light" w:eastAsia="Times New Roman" w:hAnsi="Footlight MT Light" w:cs="Calibri"/>
                <w:noProof/>
                <w:sz w:val="24"/>
                <w:szCs w:val="24"/>
              </w:rPr>
              <w:t>4,595,500</w:t>
            </w:r>
            <w:r w:rsidRPr="00E057B7">
              <w:rPr>
                <w:rFonts w:ascii="Footlight MT Light" w:eastAsia="Times New Roman" w:hAnsi="Footlight MT Light" w:cs="Calibri"/>
                <w:sz w:val="24"/>
                <w:szCs w:val="24"/>
              </w:rPr>
              <w:fldChar w:fldCharType="end"/>
            </w:r>
            <w:r w:rsidRPr="00E057B7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 - </w:t>
            </w:r>
            <w:r w:rsidRPr="00E057B7">
              <w:rPr>
                <w:rFonts w:ascii="Footlight MT Light" w:eastAsia="Times New Roman" w:hAnsi="Footlight MT Light" w:cs="Calibri"/>
                <w:sz w:val="24"/>
                <w:szCs w:val="24"/>
              </w:rPr>
              <w:t>Buying, delivering and nurturing 350 tree seedlings at Kshs.45,500 per school in 100 schools</w:t>
            </w:r>
          </w:p>
        </w:tc>
        <w:tc>
          <w:tcPr>
            <w:tcW w:w="4687" w:type="dxa"/>
          </w:tcPr>
          <w:p w14:paraId="24A36118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2AD08CF1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1DBBCE5F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Proposed project to await detailed guidelines on climate change</w:t>
            </w:r>
          </w:p>
        </w:tc>
      </w:tr>
      <w:tr w:rsidR="00FA3325" w:rsidRPr="00E057B7" w14:paraId="1533837E" w14:textId="77777777" w:rsidTr="00A622DF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A3B7" w14:textId="77777777" w:rsidR="00FA3325" w:rsidRPr="00E057B7" w:rsidRDefault="00FA3325" w:rsidP="00FA332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530" w:type="dxa"/>
            <w:vMerge/>
          </w:tcPr>
          <w:p w14:paraId="36717EF8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3B20C19E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5946" w:type="dxa"/>
          </w:tcPr>
          <w:p w14:paraId="72B095D9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E057B7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>Lii</w:t>
            </w:r>
            <w:proofErr w:type="spellEnd"/>
            <w:r w:rsidRPr="00E057B7">
              <w:rPr>
                <w:rFonts w:ascii="Footlight MT Light" w:hAnsi="Footlight MT Light" w:cs="Calibri"/>
                <w:color w:val="000000" w:themeColor="text1"/>
                <w:sz w:val="24"/>
                <w:szCs w:val="24"/>
              </w:rPr>
              <w:t xml:space="preserve"> General Service Unit Camp, Kshs</w:t>
            </w:r>
            <w:r w:rsidRPr="00E057B7">
              <w:rPr>
                <w:rFonts w:ascii="Footlight MT Light" w:hAnsi="Footlight MT Light" w:cs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E057B7">
              <w:rPr>
                <w:rFonts w:ascii="Footlight MT Light" w:hAnsi="Footlight MT Light" w:cs="Calibri"/>
                <w:sz w:val="24"/>
                <w:szCs w:val="24"/>
              </w:rPr>
              <w:t xml:space="preserve">3,255,753 </w:t>
            </w:r>
            <w:r w:rsidRPr="00E057B7">
              <w:rPr>
                <w:rFonts w:ascii="Footlight MT Light" w:hAnsi="Footlight MT Light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E057B7">
              <w:rPr>
                <w:rFonts w:ascii="Footlight MT Light" w:hAnsi="Footlight MT Light" w:cs="Calibri"/>
                <w:sz w:val="24"/>
                <w:szCs w:val="24"/>
              </w:rPr>
              <w:t xml:space="preserve"> Construction to completion of a 4-door toilet and 2 bath rooms with one door preserved for persons with disabilities at Kshs. 1,000,000 and Construction of 3 roomed administration block with armory Phase 1; foundation, walling and lintel level at Kshs. 2,255,753. </w:t>
            </w:r>
          </w:p>
        </w:tc>
        <w:tc>
          <w:tcPr>
            <w:tcW w:w="4687" w:type="dxa"/>
          </w:tcPr>
          <w:p w14:paraId="7B71A2A9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517A1EE9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5500B1AD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NG-CDFC to submit a letter from the Deputy County Commissioner communicating the decision of the Sub County Security Council on the establishment of the facility.</w:t>
            </w:r>
          </w:p>
          <w:p w14:paraId="16AD1C4E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</w:p>
          <w:p w14:paraId="0A23A9BE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 xml:space="preserve">NG-CDFC to submit drawings and the </w:t>
            </w:r>
            <w:proofErr w:type="spellStart"/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BoQs</w:t>
            </w:r>
            <w:proofErr w:type="spellEnd"/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 xml:space="preserve"> for the administration block and confirm availability of land</w:t>
            </w:r>
          </w:p>
        </w:tc>
      </w:tr>
      <w:tr w:rsidR="00FA3325" w:rsidRPr="00E057B7" w14:paraId="1C5D6BB8" w14:textId="77777777" w:rsidTr="00A622DF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255A" w14:textId="77777777" w:rsidR="00FA3325" w:rsidRPr="00E057B7" w:rsidRDefault="00FA3325" w:rsidP="00FA332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530" w:type="dxa"/>
            <w:vMerge/>
          </w:tcPr>
          <w:p w14:paraId="0ECDF0D3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0D9C7D56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5946" w:type="dxa"/>
          </w:tcPr>
          <w:p w14:paraId="478105F0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Revision Books, Kshs.2,999,701 - Purchase and delivery of 25 English revision text books at </w:t>
            </w:r>
            <w:proofErr w:type="spellStart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24,225, 25 Kiswahili revision text books at </w:t>
            </w:r>
            <w:proofErr w:type="spellStart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20,100, 25 Math revision text books at </w:t>
            </w:r>
            <w:proofErr w:type="spellStart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19,775, 25 Biology revision text books at </w:t>
            </w:r>
            <w:proofErr w:type="spellStart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21,300 and 25 Chemistry revision text books at </w:t>
            </w:r>
            <w:proofErr w:type="spellStart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E057B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21,275 which are not supplied by the ministry of education to various Schools </w:t>
            </w:r>
          </w:p>
        </w:tc>
        <w:tc>
          <w:tcPr>
            <w:tcW w:w="4687" w:type="dxa"/>
          </w:tcPr>
          <w:p w14:paraId="3BCD9CC8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5A048144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9DFFB05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NG-CDFC to submit letter from Sub County Education Officer confirming the books are the approved textbooks for the</w:t>
            </w: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 xml:space="preserve"> curriculum.</w:t>
            </w:r>
          </w:p>
          <w:p w14:paraId="20ADEF8C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4BCB83BC" w14:textId="77777777" w:rsidR="00FA3325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  <w:r w:rsidRPr="00E057B7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The NG-CDFC has submitted a letter from the DEO confirming that the distribution of the books is fair.</w:t>
            </w:r>
          </w:p>
          <w:p w14:paraId="59898DC6" w14:textId="77777777" w:rsidR="00FA3325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0D10D3E7" w14:textId="77777777" w:rsidR="00FA3325" w:rsidRDefault="00FA3325" w:rsidP="00A622DF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599DF8C4" w14:textId="77777777" w:rsidR="00FA3325" w:rsidRPr="00E057B7" w:rsidRDefault="00FA3325" w:rsidP="00A622DF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</w:p>
        </w:tc>
      </w:tr>
    </w:tbl>
    <w:p w14:paraId="56E5617D" w14:textId="77777777" w:rsidR="00FA3325" w:rsidRDefault="00FA3325" w:rsidP="00FA3325">
      <w:pPr>
        <w:spacing w:after="0" w:line="240" w:lineRule="auto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1A4391D1" w14:textId="77777777" w:rsidR="00FA3325" w:rsidRDefault="00FA3325" w:rsidP="00FA3325">
      <w:pPr>
        <w:spacing w:after="0" w:line="240" w:lineRule="auto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66895E0" w14:textId="77777777" w:rsidR="00347542" w:rsidRDefault="00347542"/>
    <w:sectPr w:rsidR="00347542" w:rsidSect="00F012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F707" w14:textId="77777777" w:rsidR="0001271A" w:rsidRDefault="0001271A" w:rsidP="00FA3325">
      <w:pPr>
        <w:spacing w:after="0" w:line="240" w:lineRule="auto"/>
      </w:pPr>
      <w:r>
        <w:separator/>
      </w:r>
    </w:p>
  </w:endnote>
  <w:endnote w:type="continuationSeparator" w:id="0">
    <w:p w14:paraId="54993436" w14:textId="77777777" w:rsidR="0001271A" w:rsidRDefault="0001271A" w:rsidP="00FA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7892" w14:textId="77777777" w:rsidR="0001271A" w:rsidRDefault="0001271A" w:rsidP="00FA3325">
      <w:pPr>
        <w:spacing w:after="0" w:line="240" w:lineRule="auto"/>
      </w:pPr>
      <w:r>
        <w:separator/>
      </w:r>
    </w:p>
  </w:footnote>
  <w:footnote w:type="continuationSeparator" w:id="0">
    <w:p w14:paraId="6A60049C" w14:textId="77777777" w:rsidR="0001271A" w:rsidRDefault="0001271A" w:rsidP="00FA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67A2"/>
    <w:multiLevelType w:val="hybridMultilevel"/>
    <w:tmpl w:val="5A46B712"/>
    <w:lvl w:ilvl="0" w:tplc="CFE4D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331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25"/>
    <w:rsid w:val="0001271A"/>
    <w:rsid w:val="00250F74"/>
    <w:rsid w:val="00347542"/>
    <w:rsid w:val="007543D7"/>
    <w:rsid w:val="00DE450E"/>
    <w:rsid w:val="00F01201"/>
    <w:rsid w:val="00F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90A2"/>
  <w15:chartTrackingRefBased/>
  <w15:docId w15:val="{C21ED417-2CBF-44E1-9344-1286C08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25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FA3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FA33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2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2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Musili</dc:creator>
  <cp:keywords/>
  <dc:description/>
  <cp:lastModifiedBy>Yvonne Musili</cp:lastModifiedBy>
  <cp:revision>2</cp:revision>
  <dcterms:created xsi:type="dcterms:W3CDTF">2024-06-11T13:06:00Z</dcterms:created>
  <dcterms:modified xsi:type="dcterms:W3CDTF">2024-06-11T13:06:00Z</dcterms:modified>
</cp:coreProperties>
</file>