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1440"/>
        <w:tblW w:w="15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710"/>
        <w:gridCol w:w="5130"/>
        <w:gridCol w:w="7174"/>
      </w:tblGrid>
      <w:tr w:rsidR="008B3B04" w:rsidRPr="002D1F53" w14:paraId="4A86F4E0" w14:textId="77777777" w:rsidTr="008B3B04">
        <w:tc>
          <w:tcPr>
            <w:tcW w:w="1255" w:type="dxa"/>
            <w:vMerge w:val="restart"/>
          </w:tcPr>
          <w:p w14:paraId="27AAD105"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roofErr w:type="spellStart"/>
            <w:r w:rsidRPr="008F60AA">
              <w:rPr>
                <w:rFonts w:ascii="Footlight MT Light" w:eastAsia="Times New Roman" w:hAnsi="Footlight MT Light" w:cs="Times New Roman"/>
                <w:b/>
                <w:sz w:val="24"/>
                <w:szCs w:val="24"/>
              </w:rPr>
              <w:t>Runyenjes</w:t>
            </w:r>
            <w:proofErr w:type="spellEnd"/>
          </w:p>
        </w:tc>
        <w:tc>
          <w:tcPr>
            <w:tcW w:w="1710" w:type="dxa"/>
            <w:vMerge w:val="restart"/>
          </w:tcPr>
          <w:p w14:paraId="5F217D36" w14:textId="77777777" w:rsidR="008B3B04" w:rsidRDefault="008B3B04" w:rsidP="008B3B04">
            <w:pPr>
              <w:spacing w:after="0" w:line="240" w:lineRule="auto"/>
              <w:jc w:val="both"/>
              <w:rPr>
                <w:rFonts w:ascii="Footlight MT Light" w:hAnsi="Footlight MT Light"/>
                <w:sz w:val="24"/>
                <w:szCs w:val="24"/>
              </w:rPr>
            </w:pPr>
            <w:r w:rsidRPr="008F60AA">
              <w:rPr>
                <w:rFonts w:ascii="Footlight MT Light" w:hAnsi="Footlight MT Light"/>
                <w:sz w:val="24"/>
                <w:szCs w:val="24"/>
              </w:rPr>
              <w:t>Normal Allocation</w:t>
            </w:r>
            <w:r>
              <w:rPr>
                <w:rFonts w:ascii="Footlight MT Light" w:hAnsi="Footlight MT Light"/>
                <w:sz w:val="24"/>
                <w:szCs w:val="24"/>
              </w:rPr>
              <w:t>, Kshs.</w:t>
            </w:r>
            <w:r w:rsidRPr="008F60AA">
              <w:rPr>
                <w:rFonts w:ascii="Footlight MT Light" w:hAnsi="Footlight MT Light"/>
                <w:sz w:val="24"/>
                <w:szCs w:val="24"/>
              </w:rPr>
              <w:t>184,129,901</w:t>
            </w:r>
          </w:p>
          <w:p w14:paraId="22CD7D00" w14:textId="77777777" w:rsidR="008B3B04" w:rsidRDefault="008B3B04" w:rsidP="008B3B04">
            <w:pPr>
              <w:spacing w:after="0" w:line="240" w:lineRule="auto"/>
              <w:jc w:val="both"/>
              <w:rPr>
                <w:rFonts w:ascii="Footlight MT Light" w:hAnsi="Footlight MT Light"/>
                <w:sz w:val="24"/>
                <w:szCs w:val="24"/>
              </w:rPr>
            </w:pPr>
          </w:p>
          <w:p w14:paraId="4041308F" w14:textId="77777777" w:rsidR="008B3B04" w:rsidRDefault="008B3B04" w:rsidP="008B3B04">
            <w:pPr>
              <w:spacing w:after="0" w:line="240" w:lineRule="auto"/>
              <w:jc w:val="both"/>
              <w:rPr>
                <w:rFonts w:ascii="Footlight MT Light" w:eastAsia="Calibri" w:hAnsi="Footlight MT Light" w:cs="Times New Roman"/>
                <w:sz w:val="24"/>
                <w:szCs w:val="24"/>
                <w:lang w:val="en-GB"/>
              </w:rPr>
            </w:pPr>
            <w:r w:rsidRPr="008F60AA">
              <w:rPr>
                <w:rFonts w:ascii="Footlight MT Light" w:eastAsia="Calibri" w:hAnsi="Footlight MT Light" w:cs="Times New Roman"/>
                <w:sz w:val="24"/>
                <w:szCs w:val="24"/>
                <w:lang w:val="en-GB"/>
              </w:rPr>
              <w:t>JSS Allocation</w:t>
            </w:r>
            <w:r>
              <w:rPr>
                <w:rFonts w:ascii="Footlight MT Light" w:eastAsia="Calibri" w:hAnsi="Footlight MT Light" w:cs="Times New Roman"/>
                <w:sz w:val="24"/>
                <w:szCs w:val="24"/>
                <w:lang w:val="en-GB"/>
              </w:rPr>
              <w:t>, Kshs.</w:t>
            </w:r>
            <w:r w:rsidRPr="008F60AA">
              <w:rPr>
                <w:rFonts w:ascii="Footlight MT Light" w:eastAsia="Calibri" w:hAnsi="Footlight MT Light" w:cs="Times New Roman"/>
                <w:sz w:val="24"/>
                <w:szCs w:val="24"/>
                <w:lang w:val="en-GB"/>
              </w:rPr>
              <w:t>9,488,033</w:t>
            </w:r>
          </w:p>
          <w:p w14:paraId="1FF0A356" w14:textId="77777777" w:rsidR="008B3B04" w:rsidRDefault="008B3B04" w:rsidP="008B3B04">
            <w:pPr>
              <w:spacing w:after="0" w:line="240" w:lineRule="auto"/>
              <w:jc w:val="both"/>
              <w:rPr>
                <w:rFonts w:ascii="Footlight MT Light" w:eastAsia="Calibri" w:hAnsi="Footlight MT Light" w:cs="Times New Roman"/>
                <w:sz w:val="24"/>
                <w:szCs w:val="24"/>
                <w:lang w:val="en-GB"/>
              </w:rPr>
            </w:pPr>
          </w:p>
          <w:p w14:paraId="6DB6D55C"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r w:rsidRPr="008F60AA">
              <w:rPr>
                <w:rFonts w:ascii="Footlight MT Light" w:eastAsia="Calibri" w:hAnsi="Footlight MT Light" w:cs="Times New Roman"/>
                <w:b/>
                <w:sz w:val="24"/>
                <w:szCs w:val="24"/>
                <w:lang w:val="en-GB"/>
              </w:rPr>
              <w:t>Total Allocation</w:t>
            </w:r>
            <w:r>
              <w:rPr>
                <w:rFonts w:ascii="Footlight MT Light" w:eastAsia="Calibri" w:hAnsi="Footlight MT Light" w:cs="Times New Roman"/>
                <w:b/>
                <w:sz w:val="24"/>
                <w:szCs w:val="24"/>
                <w:lang w:val="en-GB"/>
              </w:rPr>
              <w:t>, Kshs.</w:t>
            </w:r>
            <w:r w:rsidRPr="008F60AA">
              <w:rPr>
                <w:rFonts w:ascii="Footlight MT Light" w:eastAsia="Calibri" w:hAnsi="Footlight MT Light" w:cs="Times New Roman"/>
                <w:sz w:val="24"/>
                <w:szCs w:val="24"/>
                <w:lang w:val="en-GB"/>
              </w:rPr>
              <w:t>193,617,934</w:t>
            </w:r>
          </w:p>
        </w:tc>
        <w:tc>
          <w:tcPr>
            <w:tcW w:w="5130" w:type="dxa"/>
          </w:tcPr>
          <w:p w14:paraId="1A241054"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r w:rsidRPr="00E057B7">
              <w:rPr>
                <w:rFonts w:ascii="Footlight MT Light" w:hAnsi="Footlight MT Light"/>
                <w:b/>
                <w:sz w:val="24"/>
                <w:szCs w:val="24"/>
              </w:rPr>
              <w:t>All proposed projects complied apart from the following;</w:t>
            </w:r>
          </w:p>
        </w:tc>
        <w:tc>
          <w:tcPr>
            <w:tcW w:w="7174" w:type="dxa"/>
          </w:tcPr>
          <w:p w14:paraId="74931B30"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r w:rsidRPr="00E057B7">
              <w:rPr>
                <w:rFonts w:ascii="Footlight MT Light" w:hAnsi="Footlight MT Light"/>
                <w:b/>
                <w:sz w:val="24"/>
                <w:szCs w:val="24"/>
                <w:lang w:val="en-GB"/>
              </w:rPr>
              <w:t xml:space="preserve">All proposed projects are recommended for approval </w:t>
            </w:r>
            <w:r w:rsidRPr="00E057B7">
              <w:rPr>
                <w:rFonts w:ascii="Footlight MT Light" w:eastAsia="Times New Roman" w:hAnsi="Footlight MT Light"/>
                <w:b/>
                <w:sz w:val="24"/>
                <w:szCs w:val="24"/>
              </w:rPr>
              <w:t>apart from</w:t>
            </w:r>
            <w:r w:rsidRPr="00E057B7">
              <w:rPr>
                <w:rFonts w:ascii="Footlight MT Light" w:eastAsia="Times New Roman" w:hAnsi="Footlight MT Light"/>
                <w:b/>
                <w:sz w:val="24"/>
                <w:szCs w:val="24"/>
                <w:lang w:val="en-GB"/>
              </w:rPr>
              <w:t xml:space="preserve"> the following;</w:t>
            </w:r>
          </w:p>
        </w:tc>
      </w:tr>
      <w:tr w:rsidR="008B3B04" w:rsidRPr="00E32640" w14:paraId="7E8F4A32" w14:textId="77777777" w:rsidTr="008B3B04">
        <w:tc>
          <w:tcPr>
            <w:tcW w:w="1255" w:type="dxa"/>
            <w:vMerge/>
          </w:tcPr>
          <w:p w14:paraId="366D19B4"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1710" w:type="dxa"/>
            <w:vMerge/>
          </w:tcPr>
          <w:p w14:paraId="127FF08D"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5130" w:type="dxa"/>
          </w:tcPr>
          <w:p w14:paraId="513C02C0" w14:textId="77777777" w:rsidR="008B3B04" w:rsidRPr="00E32640" w:rsidRDefault="008B3B04" w:rsidP="008B3B04">
            <w:pPr>
              <w:spacing w:after="0" w:line="240" w:lineRule="auto"/>
              <w:jc w:val="both"/>
              <w:rPr>
                <w:rFonts w:ascii="Footlight MT Light" w:eastAsia="Times New Roman" w:hAnsi="Footlight MT Light"/>
                <w:b/>
                <w:sz w:val="24"/>
                <w:szCs w:val="24"/>
              </w:rPr>
            </w:pPr>
            <w:proofErr w:type="spellStart"/>
            <w:r w:rsidRPr="00E32640">
              <w:rPr>
                <w:rFonts w:ascii="Footlight MT Light" w:hAnsi="Footlight MT Light" w:cs="Calibri"/>
                <w:sz w:val="24"/>
                <w:szCs w:val="24"/>
              </w:rPr>
              <w:t>Karurumo</w:t>
            </w:r>
            <w:proofErr w:type="spellEnd"/>
            <w:r w:rsidRPr="00E32640">
              <w:rPr>
                <w:rFonts w:ascii="Footlight MT Light" w:hAnsi="Footlight MT Light" w:cs="Calibri"/>
                <w:sz w:val="24"/>
                <w:szCs w:val="24"/>
              </w:rPr>
              <w:t xml:space="preserve"> Primary School, Kshs.1,400,000 </w:t>
            </w:r>
            <w:r w:rsidRPr="00E32640">
              <w:rPr>
                <w:rFonts w:ascii="Footlight MT Light" w:hAnsi="Footlight MT Light" w:cs="Calibri"/>
                <w:b/>
                <w:bCs/>
                <w:sz w:val="24"/>
                <w:szCs w:val="24"/>
              </w:rPr>
              <w:t>-</w:t>
            </w:r>
            <w:r w:rsidRPr="00E32640">
              <w:rPr>
                <w:rFonts w:ascii="Footlight MT Light" w:hAnsi="Footlight MT Light" w:cs="Calibri"/>
                <w:sz w:val="24"/>
                <w:szCs w:val="24"/>
              </w:rPr>
              <w:t xml:space="preserve"> Additional funds for drilling of 250 </w:t>
            </w:r>
            <w:proofErr w:type="spellStart"/>
            <w:r w:rsidRPr="00E32640">
              <w:rPr>
                <w:rFonts w:ascii="Footlight MT Light" w:hAnsi="Footlight MT Light" w:cs="Calibri"/>
                <w:sz w:val="24"/>
                <w:szCs w:val="24"/>
              </w:rPr>
              <w:t>metres</w:t>
            </w:r>
            <w:proofErr w:type="spellEnd"/>
            <w:r w:rsidRPr="00E32640">
              <w:rPr>
                <w:rFonts w:ascii="Footlight MT Light" w:hAnsi="Footlight MT Light" w:cs="Calibri"/>
                <w:sz w:val="24"/>
                <w:szCs w:val="24"/>
              </w:rPr>
              <w:t xml:space="preserve"> deep borehole equipped with hybrid submersible pump, solar panels and cold-water storage tank. Construction of water fetching point for users, 300M piping for distribution of water in </w:t>
            </w:r>
            <w:proofErr w:type="spellStart"/>
            <w:r w:rsidRPr="00E32640">
              <w:rPr>
                <w:rFonts w:ascii="Footlight MT Light" w:hAnsi="Footlight MT Light" w:cs="Calibri"/>
                <w:sz w:val="24"/>
                <w:szCs w:val="24"/>
              </w:rPr>
              <w:t>Karurumo</w:t>
            </w:r>
            <w:proofErr w:type="spellEnd"/>
            <w:r w:rsidRPr="00E32640">
              <w:rPr>
                <w:rFonts w:ascii="Footlight MT Light" w:hAnsi="Footlight MT Light" w:cs="Calibri"/>
                <w:sz w:val="24"/>
                <w:szCs w:val="24"/>
              </w:rPr>
              <w:t xml:space="preserve"> Primary School and the neighboring </w:t>
            </w:r>
            <w:proofErr w:type="spellStart"/>
            <w:r w:rsidRPr="00E32640">
              <w:rPr>
                <w:rFonts w:ascii="Footlight MT Light" w:hAnsi="Footlight MT Light" w:cs="Calibri"/>
                <w:sz w:val="24"/>
                <w:szCs w:val="24"/>
              </w:rPr>
              <w:t>Karurumo</w:t>
            </w:r>
            <w:proofErr w:type="spellEnd"/>
            <w:r w:rsidRPr="00E32640">
              <w:rPr>
                <w:rFonts w:ascii="Footlight MT Light" w:hAnsi="Footlight MT Light" w:cs="Calibri"/>
                <w:sz w:val="24"/>
                <w:szCs w:val="24"/>
              </w:rPr>
              <w:t xml:space="preserve"> Secondary school</w:t>
            </w:r>
          </w:p>
        </w:tc>
        <w:tc>
          <w:tcPr>
            <w:tcW w:w="7174" w:type="dxa"/>
          </w:tcPr>
          <w:p w14:paraId="06425C11" w14:textId="77777777" w:rsidR="008B3B04" w:rsidRPr="00E32640" w:rsidRDefault="008B3B04" w:rsidP="008B3B04">
            <w:pPr>
              <w:spacing w:after="0" w:line="240" w:lineRule="auto"/>
              <w:jc w:val="both"/>
              <w:rPr>
                <w:rFonts w:ascii="Footlight MT Light" w:eastAsia="Calibri" w:hAnsi="Footlight MT Light" w:cs="Times New Roman"/>
                <w:b/>
                <w:sz w:val="24"/>
                <w:szCs w:val="24"/>
                <w:lang w:val="en-GB"/>
              </w:rPr>
            </w:pPr>
            <w:r w:rsidRPr="00E32640">
              <w:rPr>
                <w:rFonts w:ascii="Footlight MT Light" w:eastAsia="Calibri" w:hAnsi="Footlight MT Light" w:cs="Times New Roman"/>
                <w:b/>
                <w:sz w:val="24"/>
                <w:szCs w:val="24"/>
                <w:lang w:val="en-GB"/>
              </w:rPr>
              <w:t>Pending Approval</w:t>
            </w:r>
          </w:p>
          <w:p w14:paraId="3AD2A343" w14:textId="77777777" w:rsidR="008B3B04" w:rsidRPr="00E32640" w:rsidRDefault="008B3B04" w:rsidP="008B3B04">
            <w:pPr>
              <w:spacing w:after="0" w:line="240" w:lineRule="auto"/>
              <w:jc w:val="both"/>
              <w:rPr>
                <w:rFonts w:ascii="Footlight MT Light" w:eastAsia="Calibri" w:hAnsi="Footlight MT Light" w:cs="Times New Roman"/>
                <w:b/>
                <w:sz w:val="24"/>
                <w:szCs w:val="24"/>
                <w:lang w:val="en-GB"/>
              </w:rPr>
            </w:pPr>
          </w:p>
          <w:p w14:paraId="3DCE05D3" w14:textId="77777777" w:rsidR="008B3B04" w:rsidRPr="00E32640" w:rsidRDefault="008B3B04" w:rsidP="008B3B04">
            <w:pPr>
              <w:spacing w:after="0" w:line="240" w:lineRule="auto"/>
              <w:jc w:val="both"/>
              <w:rPr>
                <w:rFonts w:ascii="Footlight MT Light" w:hAnsi="Footlight MT Light" w:cs="Calibri"/>
                <w:sz w:val="24"/>
                <w:szCs w:val="24"/>
              </w:rPr>
            </w:pPr>
            <w:r w:rsidRPr="00E32640">
              <w:rPr>
                <w:rFonts w:ascii="Footlight MT Light" w:hAnsi="Footlight MT Light" w:cs="Calibri"/>
                <w:sz w:val="24"/>
                <w:szCs w:val="24"/>
              </w:rPr>
              <w:t>Management to carry out verification visit to ascertain where the borehole was drilled</w:t>
            </w:r>
          </w:p>
          <w:p w14:paraId="23C24A3E" w14:textId="77777777" w:rsidR="008B3B04" w:rsidRPr="00E32640" w:rsidRDefault="008B3B04" w:rsidP="008B3B04">
            <w:pPr>
              <w:spacing w:after="0" w:line="240" w:lineRule="auto"/>
              <w:jc w:val="both"/>
              <w:rPr>
                <w:rFonts w:ascii="Footlight MT Light" w:hAnsi="Footlight MT Light" w:cs="Calibri"/>
                <w:sz w:val="24"/>
                <w:szCs w:val="24"/>
              </w:rPr>
            </w:pPr>
          </w:p>
          <w:p w14:paraId="6FA6F726" w14:textId="77777777" w:rsidR="008B3B04" w:rsidRPr="00E32640" w:rsidRDefault="008B3B04" w:rsidP="008B3B04">
            <w:pPr>
              <w:spacing w:after="0" w:line="240" w:lineRule="auto"/>
              <w:jc w:val="both"/>
              <w:rPr>
                <w:rFonts w:ascii="Footlight MT Light" w:hAnsi="Footlight MT Light" w:cs="Calibri"/>
                <w:b/>
                <w:bCs/>
                <w:i/>
                <w:iCs/>
                <w:sz w:val="24"/>
                <w:szCs w:val="24"/>
              </w:rPr>
            </w:pPr>
            <w:r w:rsidRPr="00E32640">
              <w:rPr>
                <w:rFonts w:ascii="Footlight MT Light" w:hAnsi="Footlight MT Light" w:cs="Calibri"/>
                <w:b/>
                <w:bCs/>
                <w:i/>
                <w:iCs/>
                <w:sz w:val="24"/>
                <w:szCs w:val="24"/>
              </w:rPr>
              <w:t>Proposed construction of water fetching point for users is not recommended for approval since it falls under county Government functions</w:t>
            </w:r>
          </w:p>
          <w:p w14:paraId="736469B5" w14:textId="77777777" w:rsidR="008B3B04" w:rsidRPr="00E32640" w:rsidRDefault="008B3B04" w:rsidP="008B3B04">
            <w:pPr>
              <w:spacing w:after="0" w:line="240" w:lineRule="auto"/>
              <w:jc w:val="both"/>
              <w:rPr>
                <w:rFonts w:ascii="Footlight MT Light" w:hAnsi="Footlight MT Light" w:cs="Calibri"/>
                <w:b/>
                <w:bCs/>
                <w:i/>
                <w:iCs/>
                <w:sz w:val="24"/>
                <w:szCs w:val="24"/>
              </w:rPr>
            </w:pPr>
          </w:p>
          <w:p w14:paraId="6E383D29" w14:textId="77777777" w:rsidR="008B3B04" w:rsidRPr="00E32640" w:rsidRDefault="008B3B04" w:rsidP="008B3B04">
            <w:pPr>
              <w:spacing w:after="0" w:line="240" w:lineRule="auto"/>
              <w:jc w:val="both"/>
              <w:rPr>
                <w:rFonts w:ascii="Footlight MT Light" w:eastAsia="Times New Roman" w:hAnsi="Footlight MT Light"/>
                <w:b/>
                <w:sz w:val="24"/>
                <w:szCs w:val="24"/>
              </w:rPr>
            </w:pPr>
            <w:r w:rsidRPr="00E32640">
              <w:rPr>
                <w:rFonts w:ascii="Footlight MT Light" w:hAnsi="Footlight MT Light" w:cs="Calibri"/>
                <w:sz w:val="24"/>
                <w:szCs w:val="24"/>
              </w:rPr>
              <w:t>The project was allocated Kshs.3,600,000 in 2022/23 Financial Year</w:t>
            </w:r>
          </w:p>
        </w:tc>
      </w:tr>
      <w:tr w:rsidR="008B3B04" w:rsidRPr="002D1F53" w14:paraId="55E31BC8" w14:textId="77777777" w:rsidTr="008B3B04">
        <w:tc>
          <w:tcPr>
            <w:tcW w:w="1255" w:type="dxa"/>
            <w:vMerge/>
          </w:tcPr>
          <w:p w14:paraId="5A1E6D8D"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1710" w:type="dxa"/>
            <w:vMerge/>
          </w:tcPr>
          <w:p w14:paraId="5C5DB122"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5130" w:type="dxa"/>
          </w:tcPr>
          <w:p w14:paraId="1161494F" w14:textId="77777777" w:rsidR="008B3B04" w:rsidRPr="008F60AA" w:rsidRDefault="008B3B04" w:rsidP="008B3B04">
            <w:pPr>
              <w:spacing w:after="0" w:line="240" w:lineRule="auto"/>
              <w:jc w:val="both"/>
              <w:rPr>
                <w:rFonts w:ascii="Footlight MT Light" w:hAnsi="Footlight MT Light" w:cs="Calibri"/>
                <w:sz w:val="24"/>
                <w:szCs w:val="24"/>
              </w:rPr>
            </w:pPr>
            <w:proofErr w:type="spellStart"/>
            <w:r w:rsidRPr="008F129D">
              <w:rPr>
                <w:rFonts w:ascii="Footlight MT Light" w:hAnsi="Footlight MT Light" w:cs="Calibri"/>
                <w:bCs/>
                <w:color w:val="000000"/>
                <w:sz w:val="24"/>
                <w:szCs w:val="24"/>
              </w:rPr>
              <w:t>Kanginga</w:t>
            </w:r>
            <w:proofErr w:type="spellEnd"/>
            <w:r w:rsidRPr="008F129D">
              <w:rPr>
                <w:rFonts w:ascii="Footlight MT Light" w:hAnsi="Footlight MT Light" w:cs="Calibri"/>
                <w:bCs/>
                <w:color w:val="000000"/>
                <w:sz w:val="24"/>
                <w:szCs w:val="24"/>
              </w:rPr>
              <w:t xml:space="preserve"> Primary School, Kshs.</w:t>
            </w:r>
            <w:r w:rsidRPr="008F129D">
              <w:rPr>
                <w:rFonts w:ascii="Footlight MT Light" w:hAnsi="Footlight MT Light" w:cs="Calibri"/>
                <w:bCs/>
                <w:sz w:val="24"/>
                <w:szCs w:val="24"/>
              </w:rPr>
              <w:t>14,000,000</w:t>
            </w:r>
            <w:r w:rsidRPr="008F60AA">
              <w:rPr>
                <w:rFonts w:ascii="Footlight MT Light" w:hAnsi="Footlight MT Light" w:cs="Calibri"/>
                <w:sz w:val="24"/>
                <w:szCs w:val="24"/>
              </w:rPr>
              <w:t xml:space="preserve">- Additional funds for construction of </w:t>
            </w:r>
            <w:proofErr w:type="spellStart"/>
            <w:r w:rsidRPr="008F60AA">
              <w:rPr>
                <w:rFonts w:ascii="Footlight MT Light" w:hAnsi="Footlight MT Light" w:cs="Calibri"/>
                <w:sz w:val="24"/>
                <w:szCs w:val="24"/>
              </w:rPr>
              <w:t>storey</w:t>
            </w:r>
            <w:proofErr w:type="spellEnd"/>
            <w:r w:rsidRPr="008F60AA">
              <w:rPr>
                <w:rFonts w:ascii="Footlight MT Light" w:hAnsi="Footlight MT Light" w:cs="Calibri"/>
                <w:sz w:val="24"/>
                <w:szCs w:val="24"/>
              </w:rPr>
              <w:t xml:space="preserve"> building with an administration block, staffroom,</w:t>
            </w:r>
            <w:r>
              <w:rPr>
                <w:rFonts w:ascii="Footlight MT Light" w:hAnsi="Footlight MT Light" w:cs="Calibri"/>
                <w:sz w:val="24"/>
                <w:szCs w:val="24"/>
              </w:rPr>
              <w:t xml:space="preserve"> </w:t>
            </w:r>
            <w:r w:rsidRPr="008F60AA">
              <w:rPr>
                <w:rFonts w:ascii="Footlight MT Light" w:hAnsi="Footlight MT Light" w:cs="Calibri"/>
                <w:sz w:val="24"/>
                <w:szCs w:val="24"/>
              </w:rPr>
              <w:t>2 classrooms on the ground floor and four number of classrooms on first floor-walling, first floor slab, plastering of the ground floor, installation of windows and doors.</w:t>
            </w:r>
          </w:p>
          <w:p w14:paraId="5C461B03"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7174" w:type="dxa"/>
          </w:tcPr>
          <w:p w14:paraId="08872E97" w14:textId="77777777" w:rsidR="008B3B04" w:rsidRDefault="008B3B04" w:rsidP="008B3B04">
            <w:pPr>
              <w:spacing w:after="0" w:line="240" w:lineRule="auto"/>
              <w:jc w:val="both"/>
              <w:rPr>
                <w:rFonts w:ascii="Footlight MT Light" w:eastAsia="Calibri" w:hAnsi="Footlight MT Light" w:cs="Times New Roman"/>
                <w:b/>
                <w:sz w:val="24"/>
                <w:szCs w:val="24"/>
                <w:lang w:val="en-GB"/>
              </w:rPr>
            </w:pPr>
            <w:r w:rsidRPr="008F60AA">
              <w:rPr>
                <w:rFonts w:ascii="Footlight MT Light" w:eastAsia="Calibri" w:hAnsi="Footlight MT Light" w:cs="Times New Roman"/>
                <w:b/>
                <w:sz w:val="24"/>
                <w:szCs w:val="24"/>
                <w:lang w:val="en-GB"/>
              </w:rPr>
              <w:t>Pending Approval</w:t>
            </w:r>
          </w:p>
          <w:p w14:paraId="45130AEE" w14:textId="77777777" w:rsidR="008B3B04" w:rsidRDefault="008B3B04" w:rsidP="008B3B04">
            <w:pPr>
              <w:spacing w:after="0" w:line="240" w:lineRule="auto"/>
              <w:jc w:val="both"/>
              <w:rPr>
                <w:rFonts w:ascii="Footlight MT Light" w:eastAsia="Calibri" w:hAnsi="Footlight MT Light" w:cs="Times New Roman"/>
                <w:b/>
                <w:sz w:val="24"/>
                <w:szCs w:val="24"/>
                <w:lang w:val="en-GB"/>
              </w:rPr>
            </w:pPr>
          </w:p>
          <w:p w14:paraId="06972F85" w14:textId="77777777" w:rsidR="008B3B04" w:rsidRPr="00CF2911" w:rsidRDefault="008B3B04" w:rsidP="008B3B04">
            <w:pPr>
              <w:spacing w:after="0" w:line="240" w:lineRule="auto"/>
              <w:jc w:val="both"/>
              <w:rPr>
                <w:rFonts w:ascii="Footlight MT Light" w:eastAsia="Calibri" w:hAnsi="Footlight MT Light" w:cs="Times New Roman"/>
                <w:bCs/>
                <w:sz w:val="24"/>
                <w:szCs w:val="24"/>
                <w:lang w:val="en-GB"/>
              </w:rPr>
            </w:pPr>
            <w:r w:rsidRPr="00CF2911">
              <w:rPr>
                <w:rFonts w:ascii="Footlight MT Light" w:eastAsia="Calibri" w:hAnsi="Footlight MT Light" w:cs="Times New Roman"/>
                <w:bCs/>
                <w:sz w:val="24"/>
                <w:szCs w:val="24"/>
                <w:lang w:val="en-GB"/>
              </w:rPr>
              <w:t xml:space="preserve">NG-CDFC to submit certified drawings and </w:t>
            </w:r>
            <w:proofErr w:type="spellStart"/>
            <w:r w:rsidRPr="00CF2911">
              <w:rPr>
                <w:rFonts w:ascii="Footlight MT Light" w:eastAsia="Calibri" w:hAnsi="Footlight MT Light" w:cs="Times New Roman"/>
                <w:bCs/>
                <w:sz w:val="24"/>
                <w:szCs w:val="24"/>
                <w:lang w:val="en-GB"/>
              </w:rPr>
              <w:t>BoQs</w:t>
            </w:r>
            <w:proofErr w:type="spellEnd"/>
            <w:r w:rsidRPr="00CF2911">
              <w:rPr>
                <w:rFonts w:ascii="Footlight MT Light" w:eastAsia="Calibri" w:hAnsi="Footlight MT Light" w:cs="Times New Roman"/>
                <w:bCs/>
                <w:sz w:val="24"/>
                <w:szCs w:val="24"/>
                <w:lang w:val="en-GB"/>
              </w:rPr>
              <w:t xml:space="preserve"> for the project. Technical documents to be reviewed by Board’s technical officers</w:t>
            </w:r>
          </w:p>
          <w:p w14:paraId="7106B9BC" w14:textId="77777777" w:rsidR="008B3B04" w:rsidRPr="00CF2911" w:rsidRDefault="008B3B04" w:rsidP="008B3B04">
            <w:pPr>
              <w:spacing w:after="0" w:line="240" w:lineRule="auto"/>
              <w:jc w:val="both"/>
              <w:rPr>
                <w:rFonts w:ascii="Footlight MT Light" w:eastAsia="Calibri" w:hAnsi="Footlight MT Light" w:cs="Times New Roman"/>
                <w:bCs/>
                <w:sz w:val="24"/>
                <w:szCs w:val="24"/>
                <w:lang w:val="en-GB"/>
              </w:rPr>
            </w:pPr>
          </w:p>
          <w:p w14:paraId="2A1058E2" w14:textId="77777777" w:rsidR="008B3B04" w:rsidRPr="00CF2911" w:rsidRDefault="008B3B04" w:rsidP="008B3B04">
            <w:pPr>
              <w:spacing w:after="0" w:line="240" w:lineRule="auto"/>
              <w:jc w:val="both"/>
              <w:rPr>
                <w:rFonts w:ascii="Footlight MT Light" w:eastAsia="Calibri" w:hAnsi="Footlight MT Light" w:cs="Times New Roman"/>
                <w:bCs/>
                <w:sz w:val="24"/>
                <w:szCs w:val="24"/>
                <w:lang w:val="en-GB"/>
              </w:rPr>
            </w:pPr>
            <w:r w:rsidRPr="00CF2911">
              <w:rPr>
                <w:rFonts w:ascii="Footlight MT Light" w:eastAsia="Calibri" w:hAnsi="Footlight MT Light" w:cs="Times New Roman"/>
                <w:bCs/>
                <w:sz w:val="24"/>
                <w:szCs w:val="24"/>
                <w:lang w:val="en-GB"/>
              </w:rPr>
              <w:t>The school was allocated Kshs.2,500,000 in 2022/23 Financial Year for construction to completion of two classrooms. However, due to lack of land, the scope of works was changed to storey</w:t>
            </w:r>
          </w:p>
          <w:p w14:paraId="502EAC0B" w14:textId="77777777" w:rsidR="008B3B04" w:rsidRPr="00CF2911" w:rsidRDefault="008B3B04" w:rsidP="008B3B04">
            <w:pPr>
              <w:spacing w:after="0" w:line="240" w:lineRule="auto"/>
              <w:jc w:val="both"/>
              <w:rPr>
                <w:rFonts w:ascii="Footlight MT Light" w:eastAsia="Calibri" w:hAnsi="Footlight MT Light" w:cs="Times New Roman"/>
                <w:bCs/>
                <w:sz w:val="24"/>
                <w:szCs w:val="24"/>
                <w:lang w:val="en-GB"/>
              </w:rPr>
            </w:pPr>
          </w:p>
          <w:p w14:paraId="298B08F3"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r w:rsidRPr="00CF2911">
              <w:rPr>
                <w:rFonts w:ascii="Footlight MT Light" w:eastAsia="Calibri" w:hAnsi="Footlight MT Light" w:cs="Times New Roman"/>
                <w:bCs/>
                <w:sz w:val="24"/>
                <w:szCs w:val="24"/>
                <w:lang w:val="en-GB"/>
              </w:rPr>
              <w:t>The estimated cost for the project is Kshs.</w:t>
            </w:r>
            <w:r w:rsidRPr="00CF2911">
              <w:rPr>
                <w:rFonts w:ascii="Footlight MT Light" w:eastAsia="Times New Roman" w:hAnsi="Footlight MT Light" w:cs="Calibri"/>
                <w:bCs/>
                <w:sz w:val="24"/>
                <w:szCs w:val="24"/>
              </w:rPr>
              <w:t>26,850,000</w:t>
            </w:r>
          </w:p>
        </w:tc>
      </w:tr>
      <w:tr w:rsidR="008B3B04" w:rsidRPr="002D1F53" w14:paraId="442D54B5" w14:textId="77777777" w:rsidTr="008B3B04">
        <w:tc>
          <w:tcPr>
            <w:tcW w:w="1255" w:type="dxa"/>
            <w:vMerge/>
          </w:tcPr>
          <w:p w14:paraId="04ADA8C4"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1710" w:type="dxa"/>
            <w:vMerge/>
          </w:tcPr>
          <w:p w14:paraId="15302A44"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5130" w:type="dxa"/>
          </w:tcPr>
          <w:p w14:paraId="73D23BFB"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roofErr w:type="spellStart"/>
            <w:r w:rsidRPr="00CF2911">
              <w:rPr>
                <w:rFonts w:ascii="Footlight MT Light" w:hAnsi="Footlight MT Light" w:cs="Calibri"/>
                <w:color w:val="000000"/>
                <w:sz w:val="24"/>
                <w:szCs w:val="24"/>
              </w:rPr>
              <w:t>Ugweri</w:t>
            </w:r>
            <w:proofErr w:type="spellEnd"/>
            <w:r w:rsidRPr="00CF2911">
              <w:rPr>
                <w:rFonts w:ascii="Footlight MT Light" w:hAnsi="Footlight MT Light" w:cs="Calibri"/>
                <w:color w:val="000000"/>
                <w:sz w:val="24"/>
                <w:szCs w:val="24"/>
              </w:rPr>
              <w:t xml:space="preserve"> </w:t>
            </w:r>
            <w:r>
              <w:rPr>
                <w:rFonts w:ascii="Footlight MT Light" w:hAnsi="Footlight MT Light" w:cs="Calibri"/>
                <w:color w:val="000000"/>
                <w:sz w:val="24"/>
                <w:szCs w:val="24"/>
              </w:rPr>
              <w:t>P</w:t>
            </w:r>
            <w:r w:rsidRPr="00CF2911">
              <w:rPr>
                <w:rFonts w:ascii="Footlight MT Light" w:hAnsi="Footlight MT Light" w:cs="Calibri"/>
                <w:color w:val="000000"/>
                <w:sz w:val="24"/>
                <w:szCs w:val="24"/>
              </w:rPr>
              <w:t xml:space="preserve">olice </w:t>
            </w:r>
            <w:r>
              <w:rPr>
                <w:rFonts w:ascii="Footlight MT Light" w:hAnsi="Footlight MT Light" w:cs="Calibri"/>
                <w:color w:val="000000"/>
                <w:sz w:val="24"/>
                <w:szCs w:val="24"/>
              </w:rPr>
              <w:t>P</w:t>
            </w:r>
            <w:r w:rsidRPr="00CF2911">
              <w:rPr>
                <w:rFonts w:ascii="Footlight MT Light" w:hAnsi="Footlight MT Light" w:cs="Calibri"/>
                <w:color w:val="000000"/>
                <w:sz w:val="24"/>
                <w:szCs w:val="24"/>
              </w:rPr>
              <w:t>ost, Ksh</w:t>
            </w:r>
            <w:r>
              <w:rPr>
                <w:rFonts w:ascii="Footlight MT Light" w:hAnsi="Footlight MT Light" w:cs="Calibri"/>
                <w:color w:val="000000"/>
                <w:sz w:val="24"/>
                <w:szCs w:val="24"/>
              </w:rPr>
              <w:t>s</w:t>
            </w:r>
            <w:r w:rsidRPr="00CF2911">
              <w:rPr>
                <w:rFonts w:ascii="Footlight MT Light" w:hAnsi="Footlight MT Light" w:cs="Calibri"/>
                <w:color w:val="000000"/>
                <w:sz w:val="24"/>
                <w:szCs w:val="24"/>
              </w:rPr>
              <w:t>.1,500,000</w:t>
            </w:r>
            <w:r>
              <w:rPr>
                <w:rFonts w:ascii="Footlight MT Light" w:hAnsi="Footlight MT Light" w:cs="Calibri"/>
                <w:color w:val="000000"/>
                <w:sz w:val="24"/>
                <w:szCs w:val="24"/>
              </w:rPr>
              <w:t xml:space="preserve"> </w:t>
            </w:r>
            <w:r w:rsidRPr="008F60AA">
              <w:rPr>
                <w:rFonts w:ascii="Footlight MT Light" w:hAnsi="Footlight MT Light" w:cs="Calibri"/>
                <w:color w:val="000000"/>
                <w:sz w:val="24"/>
                <w:szCs w:val="24"/>
              </w:rPr>
              <w:t xml:space="preserve">- Additional funds for drilling of 250 </w:t>
            </w:r>
            <w:proofErr w:type="spellStart"/>
            <w:r w:rsidRPr="008F60AA">
              <w:rPr>
                <w:rFonts w:ascii="Footlight MT Light" w:hAnsi="Footlight MT Light" w:cs="Calibri"/>
                <w:color w:val="000000"/>
                <w:sz w:val="24"/>
                <w:szCs w:val="24"/>
              </w:rPr>
              <w:t>metres</w:t>
            </w:r>
            <w:proofErr w:type="spellEnd"/>
            <w:r w:rsidRPr="008F60AA">
              <w:rPr>
                <w:rFonts w:ascii="Footlight MT Light" w:hAnsi="Footlight MT Light" w:cs="Calibri"/>
                <w:color w:val="000000"/>
                <w:sz w:val="24"/>
                <w:szCs w:val="24"/>
              </w:rPr>
              <w:t xml:space="preserve"> deep borehole equipped with hybrid submersible pump, solar panels and cold-water storage tank. Construction of water fetching point by users, piping for distribution of water to police post offices and staff houses.</w:t>
            </w:r>
          </w:p>
        </w:tc>
        <w:tc>
          <w:tcPr>
            <w:tcW w:w="7174" w:type="dxa"/>
          </w:tcPr>
          <w:p w14:paraId="6353FEBF" w14:textId="77777777" w:rsidR="008B3B04" w:rsidRPr="00E32640" w:rsidRDefault="008B3B04" w:rsidP="008B3B04">
            <w:pPr>
              <w:spacing w:after="0" w:line="240" w:lineRule="auto"/>
              <w:jc w:val="both"/>
              <w:rPr>
                <w:rFonts w:ascii="Footlight MT Light" w:eastAsia="Calibri" w:hAnsi="Footlight MT Light" w:cs="Times New Roman"/>
                <w:b/>
                <w:sz w:val="24"/>
                <w:szCs w:val="24"/>
                <w:lang w:val="en-GB"/>
              </w:rPr>
            </w:pPr>
            <w:r w:rsidRPr="00E32640">
              <w:rPr>
                <w:rFonts w:ascii="Footlight MT Light" w:eastAsia="Calibri" w:hAnsi="Footlight MT Light" w:cs="Times New Roman"/>
                <w:b/>
                <w:sz w:val="24"/>
                <w:szCs w:val="24"/>
                <w:lang w:val="en-GB"/>
              </w:rPr>
              <w:t>Pending Approval</w:t>
            </w:r>
          </w:p>
          <w:p w14:paraId="2860DB40" w14:textId="77777777" w:rsidR="008B3B04" w:rsidRPr="00E32640" w:rsidRDefault="008B3B04" w:rsidP="008B3B04">
            <w:pPr>
              <w:spacing w:after="0" w:line="240" w:lineRule="auto"/>
              <w:jc w:val="both"/>
              <w:rPr>
                <w:rFonts w:ascii="Footlight MT Light" w:eastAsia="Calibri" w:hAnsi="Footlight MT Light" w:cs="Times New Roman"/>
                <w:b/>
                <w:sz w:val="24"/>
                <w:szCs w:val="24"/>
                <w:lang w:val="en-GB"/>
              </w:rPr>
            </w:pPr>
          </w:p>
          <w:p w14:paraId="26C7F560" w14:textId="77777777" w:rsidR="008B3B04" w:rsidRPr="00E32640" w:rsidRDefault="008B3B04" w:rsidP="008B3B04">
            <w:pPr>
              <w:spacing w:after="0" w:line="240" w:lineRule="auto"/>
              <w:jc w:val="both"/>
              <w:rPr>
                <w:rFonts w:ascii="Footlight MT Light" w:hAnsi="Footlight MT Light" w:cs="Calibri"/>
                <w:sz w:val="24"/>
                <w:szCs w:val="24"/>
              </w:rPr>
            </w:pPr>
            <w:r w:rsidRPr="00E32640">
              <w:rPr>
                <w:rFonts w:ascii="Footlight MT Light" w:hAnsi="Footlight MT Light" w:cs="Calibri"/>
                <w:sz w:val="24"/>
                <w:szCs w:val="24"/>
              </w:rPr>
              <w:t>Management to carry out verification visit to ascertain where the borehole was drilled</w:t>
            </w:r>
          </w:p>
          <w:p w14:paraId="601D3685" w14:textId="77777777" w:rsidR="008B3B04" w:rsidRPr="00E32640" w:rsidRDefault="008B3B04" w:rsidP="008B3B04">
            <w:pPr>
              <w:spacing w:after="0" w:line="240" w:lineRule="auto"/>
              <w:jc w:val="both"/>
              <w:rPr>
                <w:rFonts w:ascii="Footlight MT Light" w:hAnsi="Footlight MT Light" w:cs="Calibri"/>
                <w:sz w:val="24"/>
                <w:szCs w:val="24"/>
              </w:rPr>
            </w:pPr>
          </w:p>
          <w:p w14:paraId="5BC17391" w14:textId="77777777" w:rsidR="008B3B04" w:rsidRDefault="008B3B04" w:rsidP="008B3B04">
            <w:pPr>
              <w:spacing w:after="0" w:line="240" w:lineRule="auto"/>
              <w:jc w:val="both"/>
              <w:rPr>
                <w:rFonts w:ascii="Footlight MT Light" w:hAnsi="Footlight MT Light" w:cs="Calibri"/>
                <w:b/>
                <w:bCs/>
                <w:i/>
                <w:iCs/>
                <w:color w:val="FF0000"/>
                <w:sz w:val="24"/>
                <w:szCs w:val="24"/>
              </w:rPr>
            </w:pPr>
            <w:r w:rsidRPr="00E32640">
              <w:rPr>
                <w:rFonts w:ascii="Footlight MT Light" w:hAnsi="Footlight MT Light" w:cs="Calibri"/>
                <w:b/>
                <w:bCs/>
                <w:i/>
                <w:iCs/>
                <w:sz w:val="24"/>
                <w:szCs w:val="24"/>
              </w:rPr>
              <w:t>Proposed construction of water fetching point for users is not recommended for approval since it falls under county Government functions</w:t>
            </w:r>
          </w:p>
          <w:p w14:paraId="277B670E"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r w:rsidRPr="008A272A">
              <w:rPr>
                <w:rFonts w:ascii="Footlight MT Light" w:hAnsi="Footlight MT Light" w:cs="Calibri"/>
                <w:sz w:val="24"/>
                <w:szCs w:val="24"/>
              </w:rPr>
              <w:t>The project was allocated Kshs.3,600,000 in 2022/23 Financial Year</w:t>
            </w:r>
          </w:p>
        </w:tc>
      </w:tr>
      <w:tr w:rsidR="008B3B04" w:rsidRPr="002D1F53" w14:paraId="3D73044A" w14:textId="77777777" w:rsidTr="008B3B04">
        <w:tc>
          <w:tcPr>
            <w:tcW w:w="1255" w:type="dxa"/>
            <w:vMerge/>
          </w:tcPr>
          <w:p w14:paraId="1A178EAE"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1710" w:type="dxa"/>
            <w:vMerge/>
          </w:tcPr>
          <w:p w14:paraId="14C96468"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5130" w:type="dxa"/>
          </w:tcPr>
          <w:p w14:paraId="0D1DB04B"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r w:rsidRPr="00CF2911">
              <w:rPr>
                <w:rFonts w:ascii="Footlight MT Light" w:hAnsi="Footlight MT Light" w:cs="Calibri"/>
                <w:bCs/>
                <w:color w:val="000000"/>
                <w:sz w:val="24"/>
                <w:szCs w:val="24"/>
              </w:rPr>
              <w:t xml:space="preserve">Maranga </w:t>
            </w:r>
            <w:r>
              <w:rPr>
                <w:rFonts w:ascii="Footlight MT Light" w:hAnsi="Footlight MT Light" w:cs="Calibri"/>
                <w:bCs/>
                <w:color w:val="000000"/>
                <w:sz w:val="24"/>
                <w:szCs w:val="24"/>
              </w:rPr>
              <w:t>A</w:t>
            </w:r>
            <w:r w:rsidRPr="00CF2911">
              <w:rPr>
                <w:rFonts w:ascii="Footlight MT Light" w:hAnsi="Footlight MT Light" w:cs="Calibri"/>
                <w:bCs/>
                <w:color w:val="000000"/>
                <w:sz w:val="24"/>
                <w:szCs w:val="24"/>
              </w:rPr>
              <w:t xml:space="preserve">ssistant </w:t>
            </w:r>
            <w:r>
              <w:rPr>
                <w:rFonts w:ascii="Footlight MT Light" w:hAnsi="Footlight MT Light" w:cs="Calibri"/>
                <w:bCs/>
                <w:color w:val="000000"/>
                <w:sz w:val="24"/>
                <w:szCs w:val="24"/>
              </w:rPr>
              <w:t>C</w:t>
            </w:r>
            <w:r w:rsidRPr="00CF2911">
              <w:rPr>
                <w:rFonts w:ascii="Footlight MT Light" w:hAnsi="Footlight MT Light" w:cs="Calibri"/>
                <w:bCs/>
                <w:color w:val="000000"/>
                <w:sz w:val="24"/>
                <w:szCs w:val="24"/>
              </w:rPr>
              <w:t>hief</w:t>
            </w:r>
            <w:r>
              <w:rPr>
                <w:rFonts w:ascii="Footlight MT Light" w:hAnsi="Footlight MT Light" w:cs="Calibri"/>
                <w:bCs/>
                <w:color w:val="000000"/>
                <w:sz w:val="24"/>
                <w:szCs w:val="24"/>
              </w:rPr>
              <w:t>’s</w:t>
            </w:r>
            <w:r w:rsidRPr="00CF2911">
              <w:rPr>
                <w:rFonts w:ascii="Footlight MT Light" w:hAnsi="Footlight MT Light" w:cs="Calibri"/>
                <w:bCs/>
                <w:color w:val="000000"/>
                <w:sz w:val="24"/>
                <w:szCs w:val="24"/>
              </w:rPr>
              <w:t xml:space="preserve"> Ksh</w:t>
            </w:r>
            <w:r>
              <w:rPr>
                <w:rFonts w:ascii="Footlight MT Light" w:hAnsi="Footlight MT Light" w:cs="Calibri"/>
                <w:bCs/>
                <w:color w:val="000000"/>
                <w:sz w:val="24"/>
                <w:szCs w:val="24"/>
              </w:rPr>
              <w:t>s</w:t>
            </w:r>
            <w:r w:rsidRPr="00CF2911">
              <w:rPr>
                <w:rFonts w:ascii="Footlight MT Light" w:hAnsi="Footlight MT Light" w:cs="Calibri"/>
                <w:bCs/>
                <w:color w:val="000000"/>
                <w:sz w:val="24"/>
                <w:szCs w:val="24"/>
              </w:rPr>
              <w:t>.400,000</w:t>
            </w:r>
            <w:r>
              <w:rPr>
                <w:rFonts w:ascii="Footlight MT Light" w:hAnsi="Footlight MT Light" w:cs="Calibri"/>
                <w:bCs/>
                <w:color w:val="000000"/>
                <w:sz w:val="24"/>
                <w:szCs w:val="24"/>
              </w:rPr>
              <w:t xml:space="preserve"> </w:t>
            </w:r>
            <w:r w:rsidRPr="008F60AA">
              <w:rPr>
                <w:rFonts w:ascii="Footlight MT Light" w:hAnsi="Footlight MT Light" w:cs="Calibri"/>
                <w:color w:val="000000"/>
                <w:sz w:val="24"/>
                <w:szCs w:val="24"/>
              </w:rPr>
              <w:t>- Purchase of 1/4 acre of land and administrative expenses for processing of the title deed</w:t>
            </w:r>
            <w:r w:rsidRPr="008F60AA">
              <w:rPr>
                <w:rFonts w:ascii="Footlight MT Light" w:hAnsi="Footlight MT Light" w:cs="Calibri"/>
                <w:color w:val="FF0000"/>
                <w:sz w:val="24"/>
                <w:szCs w:val="24"/>
              </w:rPr>
              <w:t>.</w:t>
            </w:r>
          </w:p>
        </w:tc>
        <w:tc>
          <w:tcPr>
            <w:tcW w:w="7174" w:type="dxa"/>
          </w:tcPr>
          <w:p w14:paraId="4700DDCD" w14:textId="77777777" w:rsidR="008B3B04" w:rsidRPr="008F60AA" w:rsidRDefault="008B3B04" w:rsidP="008B3B04">
            <w:pPr>
              <w:spacing w:after="0" w:line="240" w:lineRule="auto"/>
              <w:jc w:val="both"/>
              <w:rPr>
                <w:rFonts w:ascii="Footlight MT Light" w:hAnsi="Footlight MT Light"/>
                <w:b/>
                <w:bCs/>
                <w:sz w:val="24"/>
                <w:szCs w:val="24"/>
              </w:rPr>
            </w:pPr>
            <w:r w:rsidRPr="008F60AA">
              <w:rPr>
                <w:rFonts w:ascii="Footlight MT Light" w:hAnsi="Footlight MT Light"/>
                <w:b/>
                <w:bCs/>
                <w:sz w:val="24"/>
                <w:szCs w:val="24"/>
              </w:rPr>
              <w:t>Pending Approval</w:t>
            </w:r>
          </w:p>
          <w:p w14:paraId="0749CFED" w14:textId="77777777" w:rsidR="008B3B04" w:rsidRPr="008F60AA" w:rsidRDefault="008B3B04" w:rsidP="008B3B04">
            <w:pPr>
              <w:spacing w:after="0" w:line="240" w:lineRule="auto"/>
              <w:jc w:val="both"/>
              <w:rPr>
                <w:rFonts w:ascii="Footlight MT Light" w:hAnsi="Footlight MT Light"/>
                <w:b/>
                <w:bCs/>
                <w:sz w:val="24"/>
                <w:szCs w:val="24"/>
              </w:rPr>
            </w:pPr>
          </w:p>
          <w:p w14:paraId="35BA7165" w14:textId="77777777" w:rsidR="008B3B04" w:rsidRDefault="008B3B04" w:rsidP="008B3B04">
            <w:pPr>
              <w:spacing w:after="0" w:line="240" w:lineRule="auto"/>
              <w:jc w:val="both"/>
              <w:rPr>
                <w:rFonts w:ascii="Footlight MT Light" w:hAnsi="Footlight MT Light"/>
                <w:bCs/>
                <w:sz w:val="24"/>
                <w:szCs w:val="24"/>
              </w:rPr>
            </w:pPr>
            <w:r w:rsidRPr="008F60AA">
              <w:rPr>
                <w:rFonts w:ascii="Footlight MT Light" w:hAnsi="Footlight MT Light"/>
                <w:bCs/>
                <w:sz w:val="24"/>
                <w:szCs w:val="24"/>
              </w:rPr>
              <w:t>NG-CDFC to provide a comprehensive land valuation report</w:t>
            </w:r>
            <w:r>
              <w:rPr>
                <w:rFonts w:ascii="Footlight MT Light" w:hAnsi="Footlight MT Light"/>
                <w:bCs/>
                <w:sz w:val="24"/>
                <w:szCs w:val="24"/>
              </w:rPr>
              <w:t xml:space="preserve"> and </w:t>
            </w:r>
            <w:r w:rsidRPr="008F60AA">
              <w:rPr>
                <w:rFonts w:ascii="Footlight MT Light" w:hAnsi="Footlight MT Light"/>
                <w:bCs/>
                <w:sz w:val="24"/>
                <w:szCs w:val="24"/>
              </w:rPr>
              <w:t>land search Certificate.</w:t>
            </w:r>
          </w:p>
          <w:p w14:paraId="4C9CEF4E" w14:textId="77777777" w:rsidR="008B3B04" w:rsidRDefault="008B3B04" w:rsidP="008B3B04">
            <w:pPr>
              <w:spacing w:after="0" w:line="240" w:lineRule="auto"/>
              <w:jc w:val="both"/>
              <w:rPr>
                <w:rFonts w:ascii="Footlight MT Light" w:hAnsi="Footlight MT Light"/>
                <w:bCs/>
                <w:sz w:val="24"/>
                <w:szCs w:val="24"/>
              </w:rPr>
            </w:pPr>
          </w:p>
          <w:p w14:paraId="3B956558" w14:textId="77777777" w:rsidR="008B3B04" w:rsidRDefault="008B3B04" w:rsidP="008B3B04">
            <w:pPr>
              <w:spacing w:after="0" w:line="240" w:lineRule="auto"/>
              <w:jc w:val="both"/>
              <w:rPr>
                <w:rFonts w:ascii="Footlight MT Light" w:hAnsi="Footlight MT Light"/>
                <w:bCs/>
                <w:sz w:val="24"/>
                <w:szCs w:val="24"/>
              </w:rPr>
            </w:pPr>
          </w:p>
          <w:p w14:paraId="6D5DAAEC"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r>
      <w:tr w:rsidR="008B3B04" w:rsidRPr="002D1F53" w14:paraId="05F2D4C8" w14:textId="77777777" w:rsidTr="008B3B04">
        <w:tc>
          <w:tcPr>
            <w:tcW w:w="1255" w:type="dxa"/>
            <w:vMerge/>
          </w:tcPr>
          <w:p w14:paraId="00785BBC"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1710" w:type="dxa"/>
            <w:vMerge/>
          </w:tcPr>
          <w:p w14:paraId="2463EE66"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5130" w:type="dxa"/>
          </w:tcPr>
          <w:p w14:paraId="28BD9440"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r w:rsidRPr="008F129D">
              <w:rPr>
                <w:rFonts w:ascii="Footlight MT Light" w:hAnsi="Footlight MT Light" w:cs="Calibri"/>
                <w:bCs/>
                <w:color w:val="000000"/>
                <w:sz w:val="24"/>
                <w:szCs w:val="24"/>
              </w:rPr>
              <w:t>Climate change Mitigation Activity, Kshs.400,000</w:t>
            </w:r>
            <w:r w:rsidRPr="008F60AA">
              <w:rPr>
                <w:rFonts w:ascii="Footlight MT Light" w:hAnsi="Footlight MT Light" w:cs="Calibri"/>
                <w:b/>
                <w:color w:val="000000"/>
                <w:sz w:val="24"/>
                <w:szCs w:val="24"/>
              </w:rPr>
              <w:t xml:space="preserve"> - </w:t>
            </w:r>
            <w:r w:rsidRPr="008F60AA">
              <w:rPr>
                <w:rFonts w:ascii="Footlight MT Light" w:eastAsia="Times New Roman" w:hAnsi="Footlight MT Light" w:cs="Calibri"/>
                <w:color w:val="000000"/>
                <w:sz w:val="24"/>
                <w:szCs w:val="24"/>
              </w:rPr>
              <w:t xml:space="preserve">Purchasing and planting of 100 tree seedlings </w:t>
            </w:r>
            <w:r>
              <w:rPr>
                <w:rFonts w:ascii="Footlight MT Light" w:eastAsia="Times New Roman" w:hAnsi="Footlight MT Light" w:cs="Calibri"/>
                <w:color w:val="000000"/>
                <w:sz w:val="24"/>
                <w:szCs w:val="24"/>
              </w:rPr>
              <w:t xml:space="preserve">in five (5) </w:t>
            </w:r>
            <w:r w:rsidRPr="008F60AA">
              <w:rPr>
                <w:rFonts w:ascii="Footlight MT Light" w:eastAsia="Times New Roman" w:hAnsi="Footlight MT Light" w:cs="Calibri"/>
                <w:color w:val="000000"/>
                <w:sz w:val="24"/>
                <w:szCs w:val="24"/>
              </w:rPr>
              <w:t>schools</w:t>
            </w:r>
            <w:r>
              <w:rPr>
                <w:rFonts w:ascii="Footlight MT Light" w:eastAsia="Times New Roman" w:hAnsi="Footlight MT Light" w:cs="Calibri"/>
                <w:color w:val="000000"/>
                <w:sz w:val="24"/>
                <w:szCs w:val="24"/>
              </w:rPr>
              <w:t xml:space="preserve"> at Kshs.80,000 each</w:t>
            </w:r>
          </w:p>
        </w:tc>
        <w:tc>
          <w:tcPr>
            <w:tcW w:w="7174" w:type="dxa"/>
          </w:tcPr>
          <w:p w14:paraId="0BED2E63" w14:textId="77777777" w:rsidR="008B3B04" w:rsidRPr="0093617F" w:rsidRDefault="008B3B04" w:rsidP="008B3B04">
            <w:pPr>
              <w:spacing w:after="0" w:line="240" w:lineRule="auto"/>
              <w:contextualSpacing/>
              <w:jc w:val="both"/>
              <w:rPr>
                <w:rFonts w:ascii="Footlight MT Light" w:eastAsia="Times New Roman" w:hAnsi="Footlight MT Light" w:cs="Times New Roman"/>
                <w:b/>
                <w:sz w:val="24"/>
                <w:szCs w:val="24"/>
                <w:lang w:eastAsia="en-GB"/>
              </w:rPr>
            </w:pPr>
            <w:r w:rsidRPr="0093617F">
              <w:rPr>
                <w:rFonts w:ascii="Footlight MT Light" w:eastAsia="Times New Roman" w:hAnsi="Footlight MT Light" w:cs="Times New Roman"/>
                <w:b/>
                <w:sz w:val="24"/>
                <w:szCs w:val="24"/>
                <w:lang w:eastAsia="en-GB"/>
              </w:rPr>
              <w:t>Pending Approval</w:t>
            </w:r>
          </w:p>
          <w:p w14:paraId="2519409B" w14:textId="77777777" w:rsidR="008B3B04" w:rsidRDefault="008B3B04" w:rsidP="008B3B04">
            <w:pPr>
              <w:spacing w:after="0" w:line="240" w:lineRule="auto"/>
              <w:contextualSpacing/>
              <w:jc w:val="both"/>
              <w:rPr>
                <w:rFonts w:ascii="Footlight MT Light" w:eastAsia="Times New Roman" w:hAnsi="Footlight MT Light" w:cs="Times New Roman"/>
                <w:b/>
                <w:sz w:val="24"/>
                <w:szCs w:val="24"/>
                <w:highlight w:val="green"/>
                <w:lang w:eastAsia="en-GB"/>
              </w:rPr>
            </w:pPr>
          </w:p>
          <w:p w14:paraId="54D031B8" w14:textId="77777777" w:rsidR="008B3B04" w:rsidRDefault="008B3B04" w:rsidP="008B3B04">
            <w:pPr>
              <w:spacing w:after="0" w:line="240" w:lineRule="auto"/>
              <w:contextualSpacing/>
              <w:jc w:val="both"/>
              <w:rPr>
                <w:rFonts w:ascii="Footlight MT Light" w:eastAsia="Times New Roman" w:hAnsi="Footlight MT Light" w:cs="Times New Roman"/>
                <w:b/>
                <w:sz w:val="24"/>
                <w:szCs w:val="24"/>
                <w:highlight w:val="green"/>
                <w:lang w:eastAsia="en-GB"/>
              </w:rPr>
            </w:pPr>
            <w:r w:rsidRPr="00FF1F0A">
              <w:rPr>
                <w:rFonts w:ascii="Footlight MT Light" w:hAnsi="Footlight MT Light"/>
                <w:bCs/>
                <w:sz w:val="24"/>
                <w:szCs w:val="24"/>
                <w:lang w:val="en-GB"/>
              </w:rPr>
              <w:t>NG-CDFC to submit</w:t>
            </w:r>
            <w:r>
              <w:rPr>
                <w:rFonts w:ascii="Footlight MT Light" w:hAnsi="Footlight MT Light"/>
                <w:bCs/>
                <w:sz w:val="24"/>
                <w:szCs w:val="24"/>
                <w:lang w:val="en-GB"/>
              </w:rPr>
              <w:t xml:space="preserve"> </w:t>
            </w:r>
            <w:r w:rsidRPr="00FF1F0A">
              <w:rPr>
                <w:rFonts w:ascii="Footlight MT Light" w:hAnsi="Footlight MT Light"/>
                <w:bCs/>
                <w:sz w:val="24"/>
                <w:szCs w:val="24"/>
                <w:lang w:val="en-GB"/>
              </w:rPr>
              <w:t xml:space="preserve">letters from the </w:t>
            </w:r>
            <w:r>
              <w:rPr>
                <w:rFonts w:ascii="Footlight MT Light" w:hAnsi="Footlight MT Light"/>
                <w:bCs/>
                <w:sz w:val="24"/>
                <w:szCs w:val="24"/>
                <w:lang w:val="en-GB"/>
              </w:rPr>
              <w:t xml:space="preserve">beneficiary institutions specifying mechanisms put in place (availability of water and fence) to </w:t>
            </w:r>
            <w:r w:rsidRPr="00FF1F0A">
              <w:rPr>
                <w:rFonts w:ascii="Footlight MT Light" w:hAnsi="Footlight MT Light"/>
                <w:bCs/>
                <w:sz w:val="24"/>
                <w:szCs w:val="24"/>
                <w:lang w:val="en-GB"/>
              </w:rPr>
              <w:t xml:space="preserve">sustain </w:t>
            </w:r>
            <w:r>
              <w:rPr>
                <w:rFonts w:ascii="Footlight MT Light" w:hAnsi="Footlight MT Light"/>
                <w:bCs/>
                <w:sz w:val="24"/>
                <w:szCs w:val="24"/>
                <w:lang w:val="en-GB"/>
              </w:rPr>
              <w:t xml:space="preserve">and protect the </w:t>
            </w:r>
            <w:r w:rsidRPr="00FF1F0A">
              <w:rPr>
                <w:rFonts w:ascii="Footlight MT Light" w:hAnsi="Footlight MT Light"/>
                <w:bCs/>
                <w:sz w:val="24"/>
                <w:szCs w:val="24"/>
                <w:lang w:val="en-GB"/>
              </w:rPr>
              <w:t>trees once planted</w:t>
            </w:r>
          </w:p>
          <w:p w14:paraId="521032E7" w14:textId="77777777" w:rsidR="008B3B04" w:rsidRDefault="008B3B04" w:rsidP="008B3B04">
            <w:pPr>
              <w:spacing w:after="0" w:line="240" w:lineRule="auto"/>
              <w:contextualSpacing/>
              <w:jc w:val="both"/>
              <w:rPr>
                <w:rFonts w:ascii="Footlight MT Light" w:eastAsia="Times New Roman" w:hAnsi="Footlight MT Light" w:cs="Times New Roman"/>
                <w:b/>
                <w:sz w:val="24"/>
                <w:szCs w:val="24"/>
                <w:highlight w:val="green"/>
                <w:lang w:eastAsia="en-GB"/>
              </w:rPr>
            </w:pPr>
          </w:p>
          <w:p w14:paraId="527D9BFD" w14:textId="77777777" w:rsidR="008B3B04" w:rsidRPr="000C4E78" w:rsidRDefault="008B3B04" w:rsidP="008B3B04">
            <w:pPr>
              <w:spacing w:after="0" w:line="240" w:lineRule="auto"/>
              <w:jc w:val="both"/>
              <w:rPr>
                <w:rFonts w:ascii="Footlight MT Light" w:hAnsi="Footlight MT Light" w:cs="Arial"/>
                <w:color w:val="000000" w:themeColor="text1"/>
                <w:sz w:val="24"/>
                <w:szCs w:val="24"/>
              </w:rPr>
            </w:pPr>
            <w:r w:rsidRPr="000C4E78">
              <w:rPr>
                <w:rFonts w:ascii="Footlight MT Light" w:hAnsi="Footlight MT Light" w:cs="Arial"/>
                <w:color w:val="000000" w:themeColor="text1"/>
                <w:sz w:val="24"/>
                <w:szCs w:val="24"/>
              </w:rPr>
              <w:t xml:space="preserve">The schools should also commit in writing to consult the Sub County Committee </w:t>
            </w:r>
            <w:proofErr w:type="spellStart"/>
            <w:r w:rsidRPr="000C4E78">
              <w:rPr>
                <w:rFonts w:ascii="Footlight MT Light" w:hAnsi="Footlight MT Light" w:cs="Arial"/>
                <w:color w:val="000000" w:themeColor="text1"/>
                <w:sz w:val="24"/>
                <w:szCs w:val="24"/>
              </w:rPr>
              <w:t>incharge</w:t>
            </w:r>
            <w:proofErr w:type="spellEnd"/>
            <w:r w:rsidRPr="000C4E78">
              <w:rPr>
                <w:rFonts w:ascii="Footlight MT Light" w:hAnsi="Footlight MT Light" w:cs="Arial"/>
                <w:color w:val="000000" w:themeColor="text1"/>
                <w:sz w:val="24"/>
                <w:szCs w:val="24"/>
              </w:rPr>
              <w:t xml:space="preserve"> of tree growing for guidance.</w:t>
            </w:r>
          </w:p>
          <w:p w14:paraId="37D60B1B" w14:textId="77777777" w:rsidR="008B3B04" w:rsidRDefault="008B3B04" w:rsidP="008B3B04">
            <w:pPr>
              <w:spacing w:after="0" w:line="240" w:lineRule="auto"/>
              <w:jc w:val="both"/>
              <w:rPr>
                <w:rFonts w:ascii="Footlight MT Light" w:hAnsi="Footlight MT Light" w:cs="Arial"/>
                <w:color w:val="000000" w:themeColor="text1"/>
              </w:rPr>
            </w:pPr>
          </w:p>
          <w:p w14:paraId="2974EE9D"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r w:rsidRPr="00FB5F2A">
              <w:rPr>
                <w:rFonts w:ascii="Footlight MT Light" w:hAnsi="Footlight MT Light" w:cs="Arial"/>
                <w:color w:val="000000" w:themeColor="text1"/>
                <w:sz w:val="24"/>
                <w:szCs w:val="24"/>
              </w:rPr>
              <w:t>The NG-CDFC is required to satisfy itself that the institutions have put in place proper mechanisms for sustaining and protecting the trees once planted including adequate consultations with the Sub County Committee on tree growing.</w:t>
            </w:r>
          </w:p>
        </w:tc>
      </w:tr>
      <w:tr w:rsidR="008B3B04" w:rsidRPr="002D1F53" w14:paraId="617403EF" w14:textId="77777777" w:rsidTr="008B3B04">
        <w:tc>
          <w:tcPr>
            <w:tcW w:w="1255" w:type="dxa"/>
            <w:vMerge/>
          </w:tcPr>
          <w:p w14:paraId="4FD9A4AB"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1710" w:type="dxa"/>
            <w:vMerge/>
          </w:tcPr>
          <w:p w14:paraId="6B8F0DCF"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5130" w:type="dxa"/>
          </w:tcPr>
          <w:p w14:paraId="6A11A84C"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roofErr w:type="spellStart"/>
            <w:r w:rsidRPr="00E532F3">
              <w:rPr>
                <w:rFonts w:ascii="Footlight MT Light" w:eastAsia="Times New Roman" w:hAnsi="Footlight MT Light" w:cs="Calibri"/>
                <w:color w:val="000000"/>
                <w:sz w:val="24"/>
                <w:szCs w:val="24"/>
              </w:rPr>
              <w:t>Kithare</w:t>
            </w:r>
            <w:proofErr w:type="spellEnd"/>
            <w:r w:rsidRPr="00E532F3">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P</w:t>
            </w:r>
            <w:r w:rsidRPr="00E532F3">
              <w:rPr>
                <w:rFonts w:ascii="Footlight MT Light" w:eastAsia="Times New Roman" w:hAnsi="Footlight MT Light" w:cs="Calibri"/>
                <w:color w:val="000000"/>
                <w:sz w:val="24"/>
                <w:szCs w:val="24"/>
              </w:rPr>
              <w:t xml:space="preserve">rimary </w:t>
            </w:r>
            <w:r>
              <w:rPr>
                <w:rFonts w:ascii="Footlight MT Light" w:eastAsia="Times New Roman" w:hAnsi="Footlight MT Light" w:cs="Calibri"/>
                <w:color w:val="000000"/>
                <w:sz w:val="24"/>
                <w:szCs w:val="24"/>
              </w:rPr>
              <w:t>S</w:t>
            </w:r>
            <w:r w:rsidRPr="00E532F3">
              <w:rPr>
                <w:rFonts w:ascii="Footlight MT Light" w:eastAsia="Times New Roman" w:hAnsi="Footlight MT Light" w:cs="Calibri"/>
                <w:color w:val="000000"/>
                <w:sz w:val="24"/>
                <w:szCs w:val="24"/>
              </w:rPr>
              <w:t>chool</w:t>
            </w:r>
            <w:r>
              <w:rPr>
                <w:rFonts w:ascii="Footlight MT Light" w:eastAsia="Times New Roman" w:hAnsi="Footlight MT Light" w:cs="Calibri"/>
                <w:color w:val="000000"/>
                <w:sz w:val="24"/>
                <w:szCs w:val="24"/>
              </w:rPr>
              <w:t>, Kshs.</w:t>
            </w:r>
            <w:r w:rsidRPr="00E532F3">
              <w:rPr>
                <w:rFonts w:ascii="Footlight MT Light" w:eastAsia="Times New Roman" w:hAnsi="Footlight MT Light" w:cs="Calibri"/>
                <w:sz w:val="24"/>
                <w:szCs w:val="24"/>
              </w:rPr>
              <w:t xml:space="preserve">5,012,571.49 </w:t>
            </w:r>
            <w:r>
              <w:rPr>
                <w:rFonts w:ascii="Footlight MT Light" w:eastAsia="Times New Roman" w:hAnsi="Footlight MT Light" w:cs="Calibri"/>
                <w:sz w:val="24"/>
                <w:szCs w:val="24"/>
              </w:rPr>
              <w:t xml:space="preserve">- </w:t>
            </w:r>
            <w:r w:rsidRPr="00E532F3">
              <w:rPr>
                <w:rFonts w:ascii="Footlight MT Light" w:eastAsia="Times New Roman" w:hAnsi="Footlight MT Light" w:cs="Calibri"/>
                <w:color w:val="000000"/>
                <w:sz w:val="24"/>
                <w:szCs w:val="24"/>
              </w:rPr>
              <w:t xml:space="preserve">First phase of construction of a staffroom in a </w:t>
            </w:r>
            <w:proofErr w:type="spellStart"/>
            <w:r w:rsidRPr="00E532F3">
              <w:rPr>
                <w:rFonts w:ascii="Footlight MT Light" w:eastAsia="Times New Roman" w:hAnsi="Footlight MT Light" w:cs="Calibri"/>
                <w:color w:val="000000"/>
                <w:sz w:val="24"/>
                <w:szCs w:val="24"/>
              </w:rPr>
              <w:t>storey</w:t>
            </w:r>
            <w:proofErr w:type="spellEnd"/>
            <w:r w:rsidRPr="00E532F3">
              <w:rPr>
                <w:rFonts w:ascii="Footlight MT Light" w:eastAsia="Times New Roman" w:hAnsi="Footlight MT Light" w:cs="Calibri"/>
                <w:color w:val="000000"/>
                <w:sz w:val="24"/>
                <w:szCs w:val="24"/>
              </w:rPr>
              <w:t xml:space="preserve"> building comprising of an administration block with three offices and a staffroom on ground floor with the slab as the roof</w:t>
            </w:r>
          </w:p>
        </w:tc>
        <w:tc>
          <w:tcPr>
            <w:tcW w:w="7174" w:type="dxa"/>
          </w:tcPr>
          <w:p w14:paraId="42724D3E" w14:textId="77777777" w:rsidR="008B3B04" w:rsidRDefault="008B3B04" w:rsidP="008B3B04">
            <w:pPr>
              <w:spacing w:after="0" w:line="240" w:lineRule="auto"/>
              <w:jc w:val="both"/>
              <w:rPr>
                <w:rFonts w:ascii="Footlight MT Light" w:hAnsi="Footlight MT Light"/>
                <w:b/>
                <w:bCs/>
                <w:sz w:val="24"/>
                <w:szCs w:val="24"/>
              </w:rPr>
            </w:pPr>
            <w:r w:rsidRPr="008F60AA">
              <w:rPr>
                <w:rFonts w:ascii="Footlight MT Light" w:hAnsi="Footlight MT Light"/>
                <w:b/>
                <w:bCs/>
                <w:sz w:val="24"/>
                <w:szCs w:val="24"/>
              </w:rPr>
              <w:t>Pending Approval</w:t>
            </w:r>
          </w:p>
          <w:p w14:paraId="360A1100" w14:textId="77777777" w:rsidR="008B3B04" w:rsidRPr="008F60AA" w:rsidRDefault="008B3B04" w:rsidP="008B3B04">
            <w:pPr>
              <w:spacing w:after="0" w:line="240" w:lineRule="auto"/>
              <w:jc w:val="both"/>
              <w:rPr>
                <w:rFonts w:ascii="Footlight MT Light" w:hAnsi="Footlight MT Light"/>
                <w:b/>
                <w:bCs/>
                <w:sz w:val="24"/>
                <w:szCs w:val="24"/>
              </w:rPr>
            </w:pPr>
          </w:p>
          <w:p w14:paraId="3B3AFFCC"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r w:rsidRPr="00E532F3">
              <w:rPr>
                <w:rFonts w:ascii="Footlight MT Light" w:eastAsia="Times New Roman" w:hAnsi="Footlight MT Light" w:cs="Calibri"/>
                <w:sz w:val="24"/>
                <w:szCs w:val="24"/>
              </w:rPr>
              <w:t xml:space="preserve">NG-CDFC to submit certified drawings and </w:t>
            </w:r>
            <w:proofErr w:type="spellStart"/>
            <w:r w:rsidRPr="00E532F3">
              <w:rPr>
                <w:rFonts w:ascii="Footlight MT Light" w:eastAsia="Times New Roman" w:hAnsi="Footlight MT Light" w:cs="Calibri"/>
                <w:sz w:val="24"/>
                <w:szCs w:val="24"/>
              </w:rPr>
              <w:t>BoQs</w:t>
            </w:r>
            <w:proofErr w:type="spellEnd"/>
          </w:p>
        </w:tc>
      </w:tr>
      <w:tr w:rsidR="008B3B04" w:rsidRPr="002D1F53" w14:paraId="46C83EF8" w14:textId="77777777" w:rsidTr="008B3B04">
        <w:tc>
          <w:tcPr>
            <w:tcW w:w="1255" w:type="dxa"/>
            <w:vMerge/>
          </w:tcPr>
          <w:p w14:paraId="3AC7C4F6"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1710" w:type="dxa"/>
            <w:vMerge/>
          </w:tcPr>
          <w:p w14:paraId="1CDBE2BE"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c>
          <w:tcPr>
            <w:tcW w:w="5130" w:type="dxa"/>
          </w:tcPr>
          <w:p w14:paraId="3A96508A"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r w:rsidRPr="00E532F3">
              <w:rPr>
                <w:rFonts w:ascii="Footlight MT Light" w:hAnsi="Footlight MT Light" w:cs="Calibri"/>
                <w:color w:val="000000"/>
                <w:sz w:val="24"/>
                <w:szCs w:val="24"/>
              </w:rPr>
              <w:t>Rural Electrification and Renewable Energy Corporation Electricity connection, Ksh</w:t>
            </w:r>
            <w:r>
              <w:rPr>
                <w:rFonts w:ascii="Footlight MT Light" w:hAnsi="Footlight MT Light" w:cs="Calibri"/>
                <w:color w:val="000000"/>
                <w:sz w:val="24"/>
                <w:szCs w:val="24"/>
              </w:rPr>
              <w:t>s</w:t>
            </w:r>
            <w:r w:rsidRPr="00E532F3">
              <w:rPr>
                <w:rFonts w:ascii="Footlight MT Light" w:hAnsi="Footlight MT Light" w:cs="Calibri"/>
                <w:color w:val="000000"/>
                <w:sz w:val="24"/>
                <w:szCs w:val="24"/>
              </w:rPr>
              <w:t>.</w:t>
            </w:r>
            <w:r w:rsidRPr="00E532F3">
              <w:rPr>
                <w:rFonts w:ascii="Footlight MT Light" w:hAnsi="Footlight MT Light" w:cs="Calibri"/>
                <w:sz w:val="24"/>
                <w:szCs w:val="24"/>
              </w:rPr>
              <w:t>5,000,000</w:t>
            </w:r>
            <w:r>
              <w:rPr>
                <w:rFonts w:ascii="Footlight MT Light" w:hAnsi="Footlight MT Light" w:cs="Calibri"/>
                <w:sz w:val="24"/>
                <w:szCs w:val="24"/>
              </w:rPr>
              <w:t xml:space="preserve"> </w:t>
            </w:r>
            <w:r w:rsidRPr="00E532F3">
              <w:rPr>
                <w:rFonts w:ascii="Footlight MT Light" w:hAnsi="Footlight MT Light" w:cs="Calibri"/>
                <w:sz w:val="24"/>
                <w:szCs w:val="24"/>
              </w:rPr>
              <w:t>-</w:t>
            </w:r>
            <w:r w:rsidRPr="008F60AA">
              <w:rPr>
                <w:rFonts w:ascii="Footlight MT Light" w:hAnsi="Footlight MT Light" w:cs="Calibri"/>
                <w:b/>
                <w:bCs/>
                <w:sz w:val="24"/>
                <w:szCs w:val="24"/>
              </w:rPr>
              <w:t xml:space="preserve"> </w:t>
            </w:r>
            <w:r w:rsidRPr="008F60AA">
              <w:rPr>
                <w:rFonts w:ascii="Footlight MT Light" w:hAnsi="Footlight MT Light" w:cs="Calibri"/>
                <w:color w:val="000000"/>
                <w:sz w:val="24"/>
                <w:szCs w:val="24"/>
              </w:rPr>
              <w:t xml:space="preserve">Contribution </w:t>
            </w:r>
            <w:r>
              <w:rPr>
                <w:rFonts w:ascii="Footlight MT Light" w:hAnsi="Footlight MT Light" w:cs="Calibri"/>
                <w:color w:val="000000"/>
                <w:sz w:val="24"/>
                <w:szCs w:val="24"/>
              </w:rPr>
              <w:t xml:space="preserve">to </w:t>
            </w:r>
            <w:r w:rsidRPr="008F60AA">
              <w:rPr>
                <w:rFonts w:ascii="Footlight MT Light" w:hAnsi="Footlight MT Light" w:cs="Calibri"/>
                <w:color w:val="000000"/>
                <w:sz w:val="24"/>
                <w:szCs w:val="24"/>
              </w:rPr>
              <w:t xml:space="preserve">matching facility funding for installation of transformers and electricity connectivity in the following areas; </w:t>
            </w:r>
            <w:proofErr w:type="spellStart"/>
            <w:r w:rsidRPr="008F60AA">
              <w:rPr>
                <w:rFonts w:ascii="Footlight MT Light" w:hAnsi="Footlight MT Light" w:cs="Calibri"/>
                <w:color w:val="000000"/>
                <w:sz w:val="24"/>
                <w:szCs w:val="24"/>
              </w:rPr>
              <w:t>Kirenyi</w:t>
            </w:r>
            <w:proofErr w:type="spellEnd"/>
            <w:r w:rsidRPr="008F60AA">
              <w:rPr>
                <w:rFonts w:ascii="Footlight MT Light" w:hAnsi="Footlight MT Light" w:cs="Calibri"/>
                <w:color w:val="000000"/>
                <w:sz w:val="24"/>
                <w:szCs w:val="24"/>
              </w:rPr>
              <w:t xml:space="preserve"> village </w:t>
            </w:r>
            <w:proofErr w:type="spellStart"/>
            <w:r w:rsidRPr="008F60AA">
              <w:rPr>
                <w:rFonts w:ascii="Footlight MT Light" w:hAnsi="Footlight MT Light" w:cs="Calibri"/>
                <w:color w:val="000000"/>
                <w:sz w:val="24"/>
                <w:szCs w:val="24"/>
              </w:rPr>
              <w:t>Kagaari</w:t>
            </w:r>
            <w:proofErr w:type="spellEnd"/>
            <w:r w:rsidRPr="008F60AA">
              <w:rPr>
                <w:rFonts w:ascii="Footlight MT Light" w:hAnsi="Footlight MT Light" w:cs="Calibri"/>
                <w:color w:val="000000"/>
                <w:sz w:val="24"/>
                <w:szCs w:val="24"/>
              </w:rPr>
              <w:t xml:space="preserve"> South ward</w:t>
            </w:r>
          </w:p>
        </w:tc>
        <w:tc>
          <w:tcPr>
            <w:tcW w:w="7174" w:type="dxa"/>
          </w:tcPr>
          <w:p w14:paraId="339C9CD8" w14:textId="77777777" w:rsidR="008B3B04" w:rsidRPr="008F60AA" w:rsidRDefault="008B3B04" w:rsidP="008B3B04">
            <w:pPr>
              <w:spacing w:after="0" w:line="240" w:lineRule="auto"/>
              <w:jc w:val="both"/>
              <w:rPr>
                <w:rFonts w:ascii="Footlight MT Light" w:hAnsi="Footlight MT Light"/>
                <w:b/>
                <w:bCs/>
                <w:sz w:val="24"/>
                <w:szCs w:val="24"/>
              </w:rPr>
            </w:pPr>
            <w:r w:rsidRPr="008F60AA">
              <w:rPr>
                <w:rFonts w:ascii="Footlight MT Light" w:hAnsi="Footlight MT Light"/>
                <w:b/>
                <w:bCs/>
                <w:sz w:val="24"/>
                <w:szCs w:val="24"/>
              </w:rPr>
              <w:t>Pending Approval</w:t>
            </w:r>
          </w:p>
          <w:p w14:paraId="1A39D4BA" w14:textId="77777777" w:rsidR="008B3B04" w:rsidRPr="008F60AA" w:rsidRDefault="008B3B04" w:rsidP="008B3B04">
            <w:pPr>
              <w:spacing w:after="0" w:line="240" w:lineRule="auto"/>
              <w:jc w:val="both"/>
              <w:rPr>
                <w:rFonts w:ascii="Footlight MT Light" w:hAnsi="Footlight MT Light"/>
                <w:b/>
                <w:bCs/>
                <w:sz w:val="24"/>
                <w:szCs w:val="24"/>
              </w:rPr>
            </w:pPr>
          </w:p>
          <w:p w14:paraId="37A29746" w14:textId="77777777" w:rsidR="008B3B04" w:rsidRPr="008F60AA" w:rsidRDefault="008B3B04" w:rsidP="008B3B04">
            <w:pPr>
              <w:spacing w:after="0" w:line="240" w:lineRule="auto"/>
              <w:jc w:val="both"/>
              <w:rPr>
                <w:rFonts w:ascii="Footlight MT Light" w:hAnsi="Footlight MT Light" w:cs="Calibri"/>
                <w:color w:val="FF0000"/>
                <w:sz w:val="24"/>
                <w:szCs w:val="24"/>
              </w:rPr>
            </w:pPr>
            <w:r w:rsidRPr="008F60AA">
              <w:rPr>
                <w:rFonts w:ascii="Footlight MT Light" w:hAnsi="Footlight MT Light"/>
                <w:sz w:val="24"/>
                <w:szCs w:val="24"/>
              </w:rPr>
              <w:t>NG-CDFC to submit</w:t>
            </w:r>
            <w:r w:rsidRPr="008F60AA">
              <w:rPr>
                <w:rFonts w:ascii="Footlight MT Light" w:hAnsi="Footlight MT Light" w:cs="Calibri"/>
                <w:color w:val="FF0000"/>
                <w:sz w:val="24"/>
                <w:szCs w:val="24"/>
              </w:rPr>
              <w:t xml:space="preserve"> </w:t>
            </w:r>
            <w:r w:rsidRPr="008F60AA">
              <w:rPr>
                <w:rFonts w:ascii="Footlight MT Light" w:hAnsi="Footlight MT Light" w:cs="Calibri"/>
                <w:sz w:val="24"/>
                <w:szCs w:val="24"/>
              </w:rPr>
              <w:t>the concurrence letter from REREC</w:t>
            </w:r>
          </w:p>
          <w:p w14:paraId="739218A4" w14:textId="77777777" w:rsidR="008B3B04" w:rsidRPr="002D1F53" w:rsidRDefault="008B3B04" w:rsidP="008B3B04">
            <w:pPr>
              <w:spacing w:after="0" w:line="240" w:lineRule="auto"/>
              <w:jc w:val="both"/>
              <w:rPr>
                <w:rFonts w:ascii="Footlight MT Light" w:eastAsia="Times New Roman" w:hAnsi="Footlight MT Light"/>
                <w:b/>
                <w:color w:val="FF0000"/>
                <w:sz w:val="24"/>
                <w:szCs w:val="24"/>
              </w:rPr>
            </w:pPr>
          </w:p>
        </w:tc>
      </w:tr>
    </w:tbl>
    <w:p w14:paraId="403C4BC9" w14:textId="77777777" w:rsidR="00347542" w:rsidRDefault="00347542"/>
    <w:sectPr w:rsidR="00347542" w:rsidSect="000A43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04"/>
    <w:rsid w:val="000A439E"/>
    <w:rsid w:val="00347542"/>
    <w:rsid w:val="008B3B04"/>
    <w:rsid w:val="00940DA0"/>
    <w:rsid w:val="00C4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C58D"/>
  <w15:chartTrackingRefBased/>
  <w15:docId w15:val="{AB64848E-3F3A-4397-9D7C-F26ACBBB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04"/>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Musili</dc:creator>
  <cp:keywords/>
  <dc:description/>
  <cp:lastModifiedBy>Yvonne Musili</cp:lastModifiedBy>
  <cp:revision>2</cp:revision>
  <dcterms:created xsi:type="dcterms:W3CDTF">2024-06-11T12:57:00Z</dcterms:created>
  <dcterms:modified xsi:type="dcterms:W3CDTF">2024-06-11T12:57:00Z</dcterms:modified>
</cp:coreProperties>
</file>